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B4" w:rsidRPr="003A3E73" w:rsidRDefault="00C419EB">
      <w:pPr>
        <w:spacing w:before="120" w:after="120" w:line="240" w:lineRule="auto"/>
        <w:jc w:val="right"/>
        <w:rPr>
          <w:rFonts w:ascii="Arial" w:eastAsia="Arial" w:hAnsi="Arial" w:cs="Arial"/>
          <w:color w:val="000000"/>
        </w:rPr>
      </w:pPr>
      <w:bookmarkStart w:id="0" w:name="_gjdgxs" w:colFirst="0" w:colLast="0"/>
      <w:bookmarkEnd w:id="0"/>
      <w:r w:rsidRPr="003A3E73">
        <w:rPr>
          <w:rFonts w:ascii="Arial" w:eastAsia="Arial" w:hAnsi="Arial" w:cs="Arial"/>
          <w:color w:val="000000"/>
        </w:rPr>
        <w:t>III.</w:t>
      </w:r>
    </w:p>
    <w:p w:rsidR="00DA64B4" w:rsidRPr="003A3E73" w:rsidRDefault="00C419EB">
      <w:pP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 xml:space="preserve">Program aplikovaného výzkumu, experimentálního vývoje a inovací </w:t>
      </w:r>
    </w:p>
    <w:p w:rsidR="00DA64B4" w:rsidRPr="003A3E73" w:rsidRDefault="00C419EB">
      <w:pP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>GAMA</w:t>
      </w:r>
    </w:p>
    <w:p w:rsidR="00DA64B4" w:rsidRPr="003A3E73" w:rsidRDefault="00C419EB">
      <w:pPr>
        <w:pStyle w:val="Nadpis1"/>
        <w:keepNext w:val="0"/>
        <w:keepLines w:val="0"/>
        <w:numPr>
          <w:ilvl w:val="0"/>
          <w:numId w:val="2"/>
        </w:numPr>
        <w:spacing w:before="240" w:line="240" w:lineRule="auto"/>
        <w:ind w:left="720"/>
        <w:jc w:val="both"/>
        <w:rPr>
          <w:rFonts w:ascii="Arial" w:eastAsia="Arial" w:hAnsi="Arial" w:cs="Arial"/>
          <w:b w:val="0"/>
          <w:color w:val="000000"/>
          <w:sz w:val="22"/>
          <w:szCs w:val="22"/>
        </w:rPr>
      </w:pPr>
      <w:r w:rsidRPr="003A3E73">
        <w:rPr>
          <w:rFonts w:ascii="Arial" w:eastAsia="Arial" w:hAnsi="Arial" w:cs="Arial"/>
          <w:b w:val="0"/>
          <w:color w:val="000000"/>
          <w:sz w:val="22"/>
          <w:szCs w:val="22"/>
        </w:rPr>
        <w:t>NÁZEV PROGRAMU</w:t>
      </w:r>
    </w:p>
    <w:p w:rsidR="00DA64B4" w:rsidRPr="003A3E73" w:rsidRDefault="00C419EB">
      <w:pPr>
        <w:spacing w:before="120" w:after="120" w:line="240" w:lineRule="auto"/>
        <w:jc w:val="both"/>
        <w:rPr>
          <w:rFonts w:ascii="Arial" w:eastAsia="Times New Roman" w:hAnsi="Arial" w:cs="Arial"/>
        </w:rPr>
      </w:pPr>
      <w:r w:rsidRPr="003A3E73">
        <w:rPr>
          <w:rFonts w:ascii="Arial" w:eastAsia="Arial" w:hAnsi="Arial" w:cs="Arial"/>
          <w:color w:val="000000"/>
        </w:rPr>
        <w:t>GAMA (dále jen „program“).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PRÁVNÍ RÁMEC PROGRAMU</w:t>
      </w:r>
      <w:bookmarkStart w:id="1" w:name="_GoBack"/>
      <w:bookmarkEnd w:id="1"/>
    </w:p>
    <w:p w:rsidR="00DA64B4" w:rsidRPr="003A3E73" w:rsidRDefault="00C419EB">
      <w:pP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Program bude realizován podle: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Zákona č. 130/2002 Sb., o podpoře výzkumu, experimentálního vývoje a inovací z veřejných prostředků a o změně některých souvisejících zákonů (zákon o podpoře výzkumu, experimentálního vývoje a inovací), ve znění pozdějších předpisů (dále jen „zákon“);</w:t>
      </w:r>
    </w:p>
    <w:p w:rsidR="00DA64B4" w:rsidRPr="003A3E73" w:rsidRDefault="00DA64B4">
      <w:pP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Smlouvy o fungování Evropské unie 2012/C 326/01, (zejména článek 107, případně také články 93 a 106);</w:t>
      </w:r>
    </w:p>
    <w:p w:rsidR="00DA64B4" w:rsidRPr="003A3E73" w:rsidRDefault="00DA64B4">
      <w:pP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Nařízení Komise (EU) č. 651/2014 ze dne 17. června 2014, kterým se v souladu s články 107 a 108 Smlouvy prohlašují určité kategorie podpory za slučitelné s vnitřním trhem - Úřední věstník Evropské unie L 187, 26. 6. 2014, (dále jen „Nařízení“), zejm. čl. 25, 28, 29</w:t>
      </w:r>
      <w:r w:rsidR="006F128A" w:rsidRPr="003A3E73">
        <w:rPr>
          <w:rFonts w:ascii="Arial" w:eastAsia="Arial" w:hAnsi="Arial" w:cs="Arial"/>
          <w:color w:val="000000"/>
        </w:rPr>
        <w:t>, ve znění novely, která byla provedena Nařízením č. 2017/1084 ze dne 14. června 2017</w:t>
      </w:r>
      <w:r w:rsidRPr="003A3E73">
        <w:rPr>
          <w:rFonts w:ascii="Arial" w:eastAsia="Arial" w:hAnsi="Arial" w:cs="Arial"/>
          <w:color w:val="000000"/>
        </w:rPr>
        <w:t>;</w:t>
      </w:r>
    </w:p>
    <w:p w:rsidR="00DA64B4" w:rsidRPr="003A3E73" w:rsidRDefault="00DA64B4">
      <w:pP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Rámce pro státní podporu výzkumu, vývoje a inovací - Úřední věstník Evropské unie C 198, 27. 6. 2014 (dále jen „Rámec“);</w:t>
      </w:r>
    </w:p>
    <w:p w:rsidR="00DA64B4" w:rsidRPr="003A3E73" w:rsidRDefault="00DA64B4">
      <w:pP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a podle ostatních souvisejících předpisů.</w:t>
      </w:r>
    </w:p>
    <w:p w:rsidR="00DA64B4" w:rsidRPr="003A3E73" w:rsidRDefault="00C419EB">
      <w:pP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Příjemcům, kteří budou podniky, bude poskytována podpora dle Nařízení a příjemcům výzkumným organizacím, bude podpora poskytována dle Rámce.</w:t>
      </w:r>
    </w:p>
    <w:p w:rsidR="00DA64B4" w:rsidRPr="003A3E73" w:rsidRDefault="00C419EB">
      <w:pP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Program je vyňat z oznamovací povinnosti podle čl. 108 odst. 3 Smlouvy o fungování Evropské unie, neboť splňuje podmínky Nařízení.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 rámci tohoto programu je vyloučeno vyplacení jednotlivé podpory ve prospěch podniku: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vůči němuž byl v návaznosti na rozhodnutí Evropské komise, na základě kterého/jímž byla podpora obdržená od poskytovatele z České republiky prohlášena za protiprávní a neslučitelnou s vnitřním trhem, vystaven inkasní příkaz, který je nesplacený,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splňujícímu definici podniku v obtížích uvedenou v čl. 2, odst. 18) Nařízení.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Pokud jeden podnik obdrží v rámci programu veřejnou podporu vyšší než 500 tis. EUR, budou informace o příjemci a jemu poskytnuté podpoře (v rozsahu dle přílohy III Nařízení) zveřejněny na centrální webové stránce ve smyslu čl. 9 Nařízení.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Program je rozdělen na dva podprogramy - podprogram 1 (dále jen „PP1“) a podprogram 2 (dále jen „PP2“), které se odlišují způsobem realizace i možnými příjemci podpory.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 xml:space="preserve">Veřejné prostředky v PP1 jsou poskytovány pouze výzkumným organizacím na jejich </w:t>
      </w:r>
      <w:proofErr w:type="spellStart"/>
      <w:r w:rsidRPr="003A3E73">
        <w:rPr>
          <w:rFonts w:ascii="Arial" w:eastAsia="Arial" w:hAnsi="Arial" w:cs="Arial"/>
          <w:color w:val="000000"/>
        </w:rPr>
        <w:t>nehospodářské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činnosti.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Veřejné prostředky v PP2 budou poskytovány v souladu s Nařízením a Rámcem.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Program bude realizován v souladu s Národní politikou výzkumu, vývoje a inovací České republiky na léta 2016 – 2020, schválenou usnesením vlády České republiky ze dne 17. února 2016 č. 135, aktualizovanou Národní výzkumnou a inovační strategií pro inteligentní specializaci České republiky, schválenou usnesením vlády České republiky ze dne 11. července 2016 č. 634, s principy Iniciativy Průmysl 4.0 vzaté na vědomí vládou usnesením č. 729 dne 24. srpna 2016, a dalšími národními a rezortními strategiemi, vč. Národních priorit orientovaného výzkumu, experimentálního vývoje a inovací, které byly přijaty usnesením vlády ze dne 19. července 2012 č. 552. Rovněž bude v kombinaci s ostatními programy Technologické agentury České republiky naplňovat systémové opatření „Podporovat inovační proces jako celek“, dále pak systémová opatření „Posílit spolupráci mezi akademickým výzkumem, vysokými školami, aplikovaným výzkumem a aplikační sférou“ a „V podporovaných projektech položit důraz na diseminaci jejich výsledků, včetně popularizace“.</w:t>
      </w:r>
    </w:p>
    <w:p w:rsidR="00DA64B4" w:rsidRPr="003A3E73" w:rsidRDefault="00C419EB">
      <w:pPr>
        <w:pStyle w:val="Nadpis1"/>
        <w:keepNext w:val="0"/>
        <w:keepLines w:val="0"/>
        <w:numPr>
          <w:ilvl w:val="0"/>
          <w:numId w:val="2"/>
        </w:numPr>
        <w:spacing w:before="240" w:line="240" w:lineRule="auto"/>
        <w:ind w:left="720"/>
        <w:jc w:val="both"/>
        <w:rPr>
          <w:rFonts w:ascii="Arial" w:eastAsia="Arial" w:hAnsi="Arial" w:cs="Arial"/>
          <w:b w:val="0"/>
          <w:color w:val="000000"/>
          <w:sz w:val="22"/>
          <w:szCs w:val="22"/>
        </w:rPr>
      </w:pPr>
      <w:r w:rsidRPr="003A3E73">
        <w:rPr>
          <w:rFonts w:ascii="Arial" w:eastAsia="Arial" w:hAnsi="Arial" w:cs="Arial"/>
          <w:b w:val="0"/>
          <w:color w:val="000000"/>
          <w:sz w:val="22"/>
          <w:szCs w:val="22"/>
        </w:rPr>
        <w:t>POSKYTOVATEL</w:t>
      </w:r>
    </w:p>
    <w:p w:rsidR="00DA64B4" w:rsidRPr="003A3E73" w:rsidRDefault="00C419EB">
      <w:pPr>
        <w:spacing w:before="120"/>
        <w:jc w:val="both"/>
        <w:rPr>
          <w:rFonts w:ascii="Arial" w:eastAsia="Times New Roman" w:hAnsi="Arial" w:cs="Arial"/>
        </w:rPr>
      </w:pPr>
      <w:r w:rsidRPr="003A3E73">
        <w:rPr>
          <w:rFonts w:ascii="Arial" w:eastAsia="Arial" w:hAnsi="Arial" w:cs="Arial"/>
          <w:color w:val="000000"/>
        </w:rPr>
        <w:t>Poskytovatelem podpory je Technologická agentura České republiky se sídlem v Praze 6, Evropská 1692/37.</w:t>
      </w:r>
    </w:p>
    <w:p w:rsidR="00DA64B4" w:rsidRPr="003A3E73" w:rsidRDefault="00C419EB">
      <w:pPr>
        <w:keepNext/>
        <w:numPr>
          <w:ilvl w:val="0"/>
          <w:numId w:val="2"/>
        </w:numPr>
        <w:spacing w:before="240"/>
        <w:ind w:left="782" w:hanging="357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IDENTIFIKAČNÍ KÓD PROGRAMU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 účely evidence v informačním systému výzkumu, experimentálního vývoje a inovací byl programu přidělen kód „TG“.</w:t>
      </w:r>
    </w:p>
    <w:p w:rsidR="00DA64B4" w:rsidRPr="003A3E73" w:rsidRDefault="00C419EB">
      <w:pPr>
        <w:pStyle w:val="Nadpis1"/>
        <w:keepNext w:val="0"/>
        <w:keepLines w:val="0"/>
        <w:numPr>
          <w:ilvl w:val="0"/>
          <w:numId w:val="2"/>
        </w:numPr>
        <w:spacing w:before="240" w:line="240" w:lineRule="auto"/>
        <w:jc w:val="both"/>
        <w:rPr>
          <w:rFonts w:ascii="Arial" w:eastAsia="Arial" w:hAnsi="Arial" w:cs="Arial"/>
          <w:b w:val="0"/>
          <w:color w:val="000000"/>
          <w:sz w:val="22"/>
          <w:szCs w:val="22"/>
        </w:rPr>
      </w:pPr>
      <w:r w:rsidRPr="003A3E73">
        <w:rPr>
          <w:rFonts w:ascii="Arial" w:eastAsia="Arial" w:hAnsi="Arial" w:cs="Arial"/>
          <w:b w:val="0"/>
          <w:color w:val="000000"/>
          <w:sz w:val="22"/>
          <w:szCs w:val="22"/>
        </w:rPr>
        <w:t>DOBA TRVÁNÍ A TERMÍNY VYHLÁŠENÍ PROGRAMU</w:t>
      </w:r>
    </w:p>
    <w:p w:rsidR="00DA64B4" w:rsidRPr="003A3E73" w:rsidRDefault="00C419EB">
      <w:pPr>
        <w:spacing w:before="12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Doba trvání programu se předpokládá v letech 2014 až 2022, tj. 9 let.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Veřejná soutěž v aplikovaném výzkumu, experimentálním vývoji a inovacích (dále jen „veřejná soutěž“) na výběr projektů do programu bude vyhlášena poprvé v roce 2013 se zahájením poskytování podpory v roce 2014. Následně se předpokládá vyhlášení veřejné soutěže každoročně v letech 2014 až 202</w:t>
      </w:r>
      <w:r w:rsidR="00365F0A" w:rsidRPr="003A3E73">
        <w:rPr>
          <w:rFonts w:ascii="Arial" w:eastAsia="Arial" w:hAnsi="Arial" w:cs="Arial"/>
          <w:color w:val="000000"/>
        </w:rPr>
        <w:t>2</w:t>
      </w:r>
      <w:r w:rsidRPr="003A3E73">
        <w:rPr>
          <w:rFonts w:ascii="Arial" w:eastAsia="Arial" w:hAnsi="Arial" w:cs="Arial"/>
          <w:color w:val="000000"/>
        </w:rPr>
        <w:t>, a to v případě, že nedojde v ČR k souběžnému financování projektů se shodným předmětem podpory v rámci operačního programu „Výzkum, vývoj a  vzdělávání“ (OP VVV) nebo „Podnikání a inovace pro konkurenceschopnost“ (OP PIK).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Doba trvání projektů nesmí přesáhnout dobu trvání programu. </w:t>
      </w:r>
    </w:p>
    <w:p w:rsidR="00DA64B4" w:rsidRPr="003A3E73" w:rsidRDefault="00C419EB">
      <w:pPr>
        <w:keepNext/>
        <w:numPr>
          <w:ilvl w:val="0"/>
          <w:numId w:val="2"/>
        </w:numPr>
        <w:spacing w:before="240" w:after="0"/>
        <w:ind w:left="782" w:hanging="357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ZAMĚŘENÍ PROGRAMU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Program je zaměřen na podporu ověření výsledků aplikovaného výzkumu </w:t>
      </w:r>
      <w:r w:rsidR="003A3E73" w:rsidRPr="003A3E73">
        <w:rPr>
          <w:rFonts w:ascii="Arial" w:eastAsia="Arial" w:hAnsi="Arial" w:cs="Arial"/>
          <w:color w:val="000000"/>
        </w:rPr>
        <w:br/>
      </w:r>
      <w:r w:rsidRPr="003A3E73">
        <w:rPr>
          <w:rFonts w:ascii="Arial" w:eastAsia="Arial" w:hAnsi="Arial" w:cs="Arial"/>
          <w:color w:val="000000"/>
        </w:rPr>
        <w:t>a experimentálního vývoje (dále jen „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>“) z hlediska jejich praktického uplatnění a na přípravu jejich následného komerčního využití. Podporované aktivity spadají pod kategorie „aplikovaný výzkum“, „experimentální vývoj“, „inovace“ dle zákona, Rámce a Nařízení.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 PP1 mohou být příjemci či další účastníci projektu pouze výzkumné organizace (dále jen „VO“), splňující podmínky uvedené v kap. 9.1.5. programu. Těmto VO bude poskytnuta podpora formou dotace nebo formou zvýšení výdajů organizačních složek státu nebo </w:t>
      </w:r>
      <w:r w:rsidRPr="003A3E73">
        <w:rPr>
          <w:rFonts w:ascii="Arial" w:eastAsia="Arial" w:hAnsi="Arial" w:cs="Arial"/>
          <w:color w:val="000000"/>
        </w:rPr>
        <w:lastRenderedPageBreak/>
        <w:t xml:space="preserve">organizačních jednotek ministerstva zabývajících se výzkumem a vývojem, ze které budou samy VO poskytovat podporu na konkrétní „dílčí“ projekty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. (Termín „dílčí“ projekt je </w:t>
      </w:r>
      <w:r w:rsidRPr="003A3E73">
        <w:rPr>
          <w:rFonts w:ascii="Arial" w:eastAsia="Times New Roman" w:hAnsi="Arial" w:cs="Arial"/>
        </w:rPr>
        <w:t xml:space="preserve">zde </w:t>
      </w:r>
      <w:r w:rsidRPr="003A3E73">
        <w:rPr>
          <w:rFonts w:ascii="Arial" w:eastAsia="Arial" w:hAnsi="Arial" w:cs="Arial"/>
          <w:color w:val="000000"/>
        </w:rPr>
        <w:t xml:space="preserve">zaveden pro odlišení projektu komerčního ověřování konkrétního výsledku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který bude financován VO, od celkového projektu, jehož návrh bude VO podán v rámci PP1. Termín projekt je použit záměrně, protože i postup komerčního ověřování výsledku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musí proběhnout formou projektu: příprava návrhu, jeho předložení Radě pro komercializaci, v případě schválení monitorování, vedení příslušné dokumentace, ukončení „dílčího“ projektu a předložení výsledku Radě pro komercializaci). Předmětem těchto „dílčích“ projektů je ověření praktické využitelnosti výsledku aplikovaného výzkumu a experimentálního vývoje, kterého bylo dosaženo ve VO.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 PP2 mohou být příjemci pouze podniky. VO se mohou účastnit pouze jako další účastníci projektu, a to buď v režimu podpory </w:t>
      </w:r>
      <w:proofErr w:type="spellStart"/>
      <w:r w:rsidRPr="003A3E73">
        <w:rPr>
          <w:rFonts w:ascii="Arial" w:eastAsia="Arial" w:hAnsi="Arial" w:cs="Arial"/>
          <w:color w:val="000000"/>
        </w:rPr>
        <w:t>nehospodářských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činností VO, anebo ve stejném režimu jako podniky. Předmětem podpory bude v případě zapojení VO do projektu dokončení vývoje u výsledku předchozího aplikovaného výzkumu či experimentálního vývoje vzniklého s podporou veřejných zdrojů ve VO a jeho příprava na zavedení do praxe. Příjemcem tedy může být pouze podnik, který bude následně výsledek využívat, resp. prodávat.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 případě, že problematika obsažená v tomto programu bude obdobným způsobem řešena v rámci evropských strukturálních a investičních fondů v období 2014 – 2020, bude přestrukturování nebo ukončení programu projednáno s orgány státní správy spravujícími operační programy za účelem toho, aby program nenarušil implementaci příslušných operačních programů. Finanční prostředky programu alokované v rozpočtu poskytovatele ve střednědobém výhledu budou převedeny na kofinancování příslušných prioritních os </w:t>
      </w:r>
      <w:r w:rsidR="003A3E73" w:rsidRPr="003A3E73">
        <w:rPr>
          <w:rFonts w:ascii="Arial" w:eastAsia="Arial" w:hAnsi="Arial" w:cs="Arial"/>
          <w:color w:val="000000"/>
        </w:rPr>
        <w:br/>
      </w:r>
      <w:r w:rsidRPr="003A3E73">
        <w:rPr>
          <w:rFonts w:ascii="Arial" w:eastAsia="Arial" w:hAnsi="Arial" w:cs="Arial"/>
          <w:color w:val="000000"/>
        </w:rPr>
        <w:t>a oblastí podpory zahajovaných operačních programů OP PIK a OP VVV.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Program bude moci být využit pro synergie s komunitárními programy, zejména programem Horizont 2020. V případě využití programu v mezinárodních nástrojích (jako je např. </w:t>
      </w:r>
      <w:proofErr w:type="spellStart"/>
      <w:r w:rsidRPr="003A3E73">
        <w:rPr>
          <w:rFonts w:ascii="Arial" w:eastAsia="Arial" w:hAnsi="Arial" w:cs="Arial"/>
          <w:color w:val="000000"/>
        </w:rPr>
        <w:t>Seal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of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Excellence) neplatí uvedené podmínky realizace projektů podpořených v PP2. Tyto parametry budou stanoveny ve společné mezinárodní výzvě v rámci daného mezinárodního nástroje. 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CÍLE PROGRAMU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Hlavním cílem programu je podpořit a významně zefektivnit transfer znalostí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jakožto výsledků dosažených ve VO a/nebo ve spolupráci mezi VO a podniky, do podoby praktické aplikace umožňující jejich komerční využití a podpořit tak jejich zavedení do praxe. K cílům programu patří také zajistit tvorbu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vedoucím k inovacím s v</w:t>
      </w:r>
      <w:r w:rsidR="003A3E73" w:rsidRPr="003A3E73">
        <w:rPr>
          <w:rFonts w:ascii="Arial" w:eastAsia="Arial" w:hAnsi="Arial" w:cs="Arial"/>
          <w:color w:val="000000"/>
        </w:rPr>
        <w:t xml:space="preserve">ysokou pravděpodobností jejich využití, </w:t>
      </w:r>
      <w:r w:rsidRPr="003A3E73">
        <w:rPr>
          <w:rFonts w:ascii="Arial" w:eastAsia="Arial" w:hAnsi="Arial" w:cs="Arial"/>
          <w:color w:val="000000"/>
        </w:rPr>
        <w:t xml:space="preserve">a tím stimulovat inovace v  aplikační sféře (zejména </w:t>
      </w:r>
      <w:r w:rsidR="003A3E73" w:rsidRPr="003A3E73">
        <w:rPr>
          <w:rFonts w:ascii="Arial" w:eastAsia="Arial" w:hAnsi="Arial" w:cs="Arial"/>
          <w:color w:val="000000"/>
        </w:rPr>
        <w:br/>
      </w:r>
      <w:r w:rsidRPr="003A3E73">
        <w:rPr>
          <w:rFonts w:ascii="Arial" w:eastAsia="Arial" w:hAnsi="Arial" w:cs="Arial"/>
          <w:color w:val="000000"/>
        </w:rPr>
        <w:t xml:space="preserve">v malých a středních podnicích) s využitím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vzniklého s podporou veřejných zdrojů ve VO. </w:t>
      </w:r>
    </w:p>
    <w:p w:rsidR="00DA64B4" w:rsidRPr="003A3E73" w:rsidRDefault="00C419EB" w:rsidP="003A3E73">
      <w:pPr>
        <w:spacing w:before="120" w:after="60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Jednat by se mělo zejména o podporu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pro inovaci stávajících výrobků, služeb či technologií společnosti tak, aby bylo umožněno jejich uplatnění v dalších oblastech (strategie rozšíření trhu) anebo o podporu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pro tvorbu zcela nových výrobků, služeb či technologií (strategie vytváření nových trhů). </w:t>
      </w:r>
    </w:p>
    <w:p w:rsidR="00DA64B4" w:rsidRPr="003A3E73" w:rsidRDefault="00C419EB" w:rsidP="003A3E73">
      <w:pPr>
        <w:numPr>
          <w:ilvl w:val="0"/>
          <w:numId w:val="2"/>
        </w:numPr>
        <w:spacing w:before="240" w:after="120"/>
        <w:ind w:left="782" w:hanging="357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CELKOVÉ VÝDAJE NA PROGRAM A NEJVYŠŠÍ POVOLENÁ INTENZITA PODPORY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Celkové výdaje na program jsou na období trvání programu rozvrženy v souladu s předpokládaným postupným vyhlašováním jednotlivých veřejných soutěží ve výzkumu, vývoji a inovacích a činí </w:t>
      </w:r>
      <w:r w:rsidRPr="003A3E73">
        <w:rPr>
          <w:rFonts w:ascii="Arial" w:eastAsia="Times New Roman" w:hAnsi="Arial" w:cs="Arial"/>
        </w:rPr>
        <w:t>1 376,7</w:t>
      </w:r>
      <w:r w:rsidRPr="003A3E73">
        <w:rPr>
          <w:rFonts w:ascii="Arial" w:eastAsia="Arial" w:hAnsi="Arial" w:cs="Arial"/>
          <w:color w:val="000000"/>
        </w:rPr>
        <w:t xml:space="preserve"> mil. Kč, přičemž </w:t>
      </w:r>
      <w:r w:rsidRPr="003A3E73">
        <w:rPr>
          <w:rFonts w:ascii="Arial" w:eastAsia="Times New Roman" w:hAnsi="Arial" w:cs="Arial"/>
        </w:rPr>
        <w:t>1 224,8</w:t>
      </w:r>
      <w:r w:rsidRPr="003A3E73">
        <w:rPr>
          <w:rFonts w:ascii="Arial" w:eastAsia="Arial" w:hAnsi="Arial" w:cs="Arial"/>
          <w:color w:val="000000"/>
        </w:rPr>
        <w:t xml:space="preserve"> mil. Kč by mělo být pokryto z výdajů státního rozpočtu a </w:t>
      </w:r>
      <w:r w:rsidRPr="003A3E73">
        <w:rPr>
          <w:rFonts w:ascii="Arial" w:eastAsia="Times New Roman" w:hAnsi="Arial" w:cs="Arial"/>
        </w:rPr>
        <w:t>151,9</w:t>
      </w:r>
      <w:r w:rsidRPr="003A3E73">
        <w:rPr>
          <w:rFonts w:ascii="Arial" w:eastAsia="Arial" w:hAnsi="Arial" w:cs="Arial"/>
          <w:color w:val="000000"/>
        </w:rPr>
        <w:t xml:space="preserve"> mil. Kč z neveřejných zdrojů. Nejvyšší povolená intenzita podpory je 100 % pro PP1 a 55 % pro PP2. Nejvyšší povolená intenzita podpory pro jednotlivé podprogramy je zdůvodněna v kapitolách 9.1.8 a 9.2.7.</w:t>
      </w:r>
    </w:p>
    <w:p w:rsidR="00DA64B4" w:rsidRPr="003A3E73" w:rsidRDefault="00C419EB">
      <w:pPr>
        <w:jc w:val="both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>Tabulka č. 1: Rozpočet programu [mil. Kč]</w:t>
      </w:r>
    </w:p>
    <w:tbl>
      <w:tblPr>
        <w:tblStyle w:val="a"/>
        <w:tblW w:w="9729" w:type="dxa"/>
        <w:tblInd w:w="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44"/>
        <w:gridCol w:w="840"/>
        <w:gridCol w:w="826"/>
        <w:gridCol w:w="826"/>
        <w:gridCol w:w="826"/>
        <w:gridCol w:w="812"/>
        <w:gridCol w:w="783"/>
        <w:gridCol w:w="798"/>
        <w:gridCol w:w="798"/>
        <w:gridCol w:w="784"/>
        <w:gridCol w:w="1092"/>
      </w:tblGrid>
      <w:tr w:rsidR="003A3E73" w:rsidRPr="003A3E73" w:rsidTr="003A3E73">
        <w:trPr>
          <w:trHeight w:val="280"/>
        </w:trPr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ROK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2014</w:t>
            </w:r>
          </w:p>
        </w:tc>
        <w:tc>
          <w:tcPr>
            <w:tcW w:w="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2015</w:t>
            </w:r>
          </w:p>
        </w:tc>
        <w:tc>
          <w:tcPr>
            <w:tcW w:w="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2016</w:t>
            </w:r>
          </w:p>
        </w:tc>
        <w:tc>
          <w:tcPr>
            <w:tcW w:w="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2017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2018</w:t>
            </w:r>
          </w:p>
        </w:tc>
        <w:tc>
          <w:tcPr>
            <w:tcW w:w="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2019</w:t>
            </w: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2020</w:t>
            </w: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2021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</w:rPr>
              <w:t>2022</w:t>
            </w:r>
          </w:p>
        </w:tc>
        <w:tc>
          <w:tcPr>
            <w:tcW w:w="10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Celkem</w:t>
            </w:r>
          </w:p>
        </w:tc>
      </w:tr>
      <w:tr w:rsidR="003A3E73" w:rsidRPr="003A3E73" w:rsidTr="003A3E73">
        <w:trPr>
          <w:trHeight w:val="280"/>
        </w:trPr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Celkové výdaje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42,3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93,3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149,4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153,7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179,0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179,0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322,4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252,4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1376,7</w:t>
            </w:r>
          </w:p>
        </w:tc>
      </w:tr>
      <w:tr w:rsidR="003A3E73" w:rsidRPr="003A3E73" w:rsidTr="003A3E73">
        <w:trPr>
          <w:trHeight w:val="280"/>
        </w:trPr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Výdaje státního rozpočtu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42,3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93,3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146,9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149,7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175,0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175,0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253,7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183,7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1224,8</w:t>
            </w:r>
          </w:p>
        </w:tc>
      </w:tr>
      <w:tr w:rsidR="003A3E73" w:rsidRPr="003A3E73" w:rsidTr="003A3E73">
        <w:trPr>
          <w:trHeight w:val="280"/>
        </w:trPr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3A3E73">
              <w:rPr>
                <w:rFonts w:ascii="Arial" w:eastAsia="Arial" w:hAnsi="Arial" w:cs="Arial"/>
                <w:b/>
                <w:color w:val="000000"/>
              </w:rPr>
              <w:t>Neveřejné zdroje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68,7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68,7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151,9</w:t>
            </w:r>
          </w:p>
        </w:tc>
      </w:tr>
    </w:tbl>
    <w:p w:rsidR="00DA64B4" w:rsidRPr="003A3E73" w:rsidRDefault="00DA64B4">
      <w:pPr>
        <w:jc w:val="both"/>
        <w:rPr>
          <w:rFonts w:ascii="Arial" w:eastAsia="Times New Roman" w:hAnsi="Arial" w:cs="Arial"/>
        </w:rPr>
      </w:pP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 PODPROGRAMY</w:t>
      </w:r>
    </w:p>
    <w:p w:rsidR="00DA64B4" w:rsidRPr="003A3E73" w:rsidRDefault="00C419EB">
      <w:pPr>
        <w:spacing w:before="240" w:after="0"/>
        <w:jc w:val="both"/>
        <w:rPr>
          <w:rFonts w:ascii="Arial" w:eastAsia="Arial" w:hAnsi="Arial" w:cs="Arial"/>
          <w:b/>
        </w:rPr>
      </w:pPr>
      <w:r w:rsidRPr="003A3E73">
        <w:rPr>
          <w:rFonts w:ascii="Arial" w:eastAsia="Arial" w:hAnsi="Arial" w:cs="Arial"/>
          <w:b/>
        </w:rPr>
        <w:t xml:space="preserve">9.1. PP1 – </w:t>
      </w:r>
      <w:proofErr w:type="spellStart"/>
      <w:r w:rsidRPr="003A3E73">
        <w:rPr>
          <w:rFonts w:ascii="Arial" w:eastAsia="Arial" w:hAnsi="Arial" w:cs="Arial"/>
          <w:b/>
        </w:rPr>
        <w:t>proof-of-concept</w:t>
      </w:r>
      <w:proofErr w:type="spellEnd"/>
    </w:p>
    <w:p w:rsidR="00DA64B4" w:rsidRPr="001B4739" w:rsidRDefault="00C419EB">
      <w:pPr>
        <w:spacing w:before="120" w:line="240" w:lineRule="auto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9.1.1. Zaměření PP1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PP1 je zaměřen na podporu využití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které vznikají ve VO a jejichž výsledky mají vysoký potenciál pro uplatnění v nových nebo zdokonalených produktech, výrobních postupech nebo službách s vysokou přidanou hodnotou a vysokou pravděpodobností posílení konkurenceschopnosti.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PP1 je orientován rovněž na systémovou podporu fáze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(iniciace vytvoření obdoby tzv. </w:t>
      </w:r>
      <w:proofErr w:type="spellStart"/>
      <w:r w:rsidRPr="003A3E73">
        <w:rPr>
          <w:rFonts w:ascii="Arial" w:eastAsia="Arial" w:hAnsi="Arial" w:cs="Arial"/>
          <w:color w:val="000000"/>
        </w:rPr>
        <w:t>pre-seed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fondu, tedy fondu, který podporuje výzkumné aktivity před realizací výsledku v praxi, či před založením firmy za účelem komercializace výsledku) od identifikace prakticky využitelného výsledku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po jeho komerční ověření ve formě modelu (i počítačového), funkčního vzorku či prototypu, včetně jeho vlastností, vytvoření zkušební série a posouzení veškerých technologických, ekonomických, sociálních, zdravotních a dalších dopadů inovovaného produktu. PP1 rovněž přispěje k vytvoření a fungování nezbytné podpůrné organizační struktury VO, která je nutná pro komercializaci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. </w:t>
      </w:r>
    </w:p>
    <w:p w:rsidR="00DA64B4" w:rsidRPr="001B4739" w:rsidRDefault="00C419EB">
      <w:pPr>
        <w:keepNext/>
        <w:spacing w:before="16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9.1.2. Cíle PP1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Times New Roman" w:hAnsi="Arial" w:cs="Arial"/>
        </w:rPr>
        <w:t>C</w:t>
      </w:r>
      <w:r w:rsidRPr="003A3E73">
        <w:rPr>
          <w:rFonts w:ascii="Arial" w:eastAsia="Arial" w:hAnsi="Arial" w:cs="Arial"/>
          <w:color w:val="000000"/>
        </w:rPr>
        <w:t xml:space="preserve">ílem PP1 je podpořit a významně zefektivnit transfer nových poznatků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vzniklých z veřejných zdrojů ve VO a podpořit jejich zavedení do praxe. Vlastní aplikace poznatků cílem PP1 není. Naplnění cílů PP1 povede k efektivnějšímu využití veřejných prostředků </w:t>
      </w:r>
      <w:r w:rsidRPr="003A3E73">
        <w:rPr>
          <w:rFonts w:ascii="Arial" w:eastAsia="Arial" w:hAnsi="Arial" w:cs="Arial"/>
          <w:color w:val="000000"/>
        </w:rPr>
        <w:lastRenderedPageBreak/>
        <w:t xml:space="preserve">vložených do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a nepřímo k posílení ekonomické výkonnosti VO, růstu konkurenceschopnosti hospodářství a společnosti ČR a zvýšení kvality života jejích obyvatel.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Podpořena bude fáze ověření aplikačního potenciálu nových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před jejich možným využitím v praxi (tzv. „</w:t>
      </w:r>
      <w:proofErr w:type="spellStart"/>
      <w:r w:rsidRPr="003A3E73">
        <w:rPr>
          <w:rFonts w:ascii="Arial" w:eastAsia="Arial" w:hAnsi="Arial" w:cs="Arial"/>
          <w:color w:val="000000"/>
        </w:rPr>
        <w:t>prof-of-concept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stage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“). Prostřednictvím podpory z TA ČR budou ve VO financovány aktivity sloužící zejména k ověření praktické využitelnosti nových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vzniklých ve VO (nezbytné náklady na doplňkový výzkum, experimentální ověřování apod.) končící konkrétním návrhem nových podstatně zdokonalených výrobků, postupů nebo služeb zejména formou modelu funkčního vzorku apod.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Umožněním výběru „dílčích“ projektů“ na úrovni VO se oproti výběru projektu na úrovni poskytovatele výrazně urychlí a zefektivní proces komercializace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. </w:t>
      </w:r>
    </w:p>
    <w:p w:rsidR="00DA64B4" w:rsidRPr="001B4739" w:rsidRDefault="00C419EB">
      <w:pPr>
        <w:keepNext/>
        <w:spacing w:before="16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9.1.3. Způsob realizace PP1</w:t>
      </w:r>
    </w:p>
    <w:p w:rsidR="00DA64B4" w:rsidRPr="003A3E73" w:rsidRDefault="00C419EB">
      <w:pPr>
        <w:spacing w:before="16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TA ČR vyhlásí veřejnou soutěž pro VO, které budou předkládat vlastní projekty zajištění aktivit „</w:t>
      </w:r>
      <w:proofErr w:type="spellStart"/>
      <w:r w:rsidRPr="003A3E73">
        <w:rPr>
          <w:rFonts w:ascii="Arial" w:eastAsia="Arial" w:hAnsi="Arial" w:cs="Arial"/>
          <w:color w:val="000000"/>
        </w:rPr>
        <w:t>proof-of-concept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“ ve svých VO. Smyslem je vytvořit, případně podpořit ve VO systém, v rámci kterého budou podporovány jednotlivé projekty výzkumných pracovníků, popř. studentů, na ověření konceptu, tzv. „dílčí“ projekty. VO obdrží na počátku kalendářního roku prostředky na realizaci „dílčích“ projektů zahajovaných v daném roce či pokračujících v řešení z let předchozích. </w:t>
      </w:r>
    </w:p>
    <w:p w:rsidR="00DA64B4" w:rsidRPr="003A3E73" w:rsidRDefault="00C419EB">
      <w:pPr>
        <w:spacing w:before="24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Struktura pro zajištění aktivit „</w:t>
      </w:r>
      <w:proofErr w:type="spellStart"/>
      <w:r w:rsidRPr="003A3E73">
        <w:rPr>
          <w:rFonts w:ascii="Arial" w:eastAsia="Arial" w:hAnsi="Arial" w:cs="Arial"/>
          <w:color w:val="000000"/>
        </w:rPr>
        <w:t>proof-of-concept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“ bude rozdělena na část rozhodovací a část výkonnou. Rozhodovací aktivity budou zajištěny tzv. Radou pro komercializaci (dále Rada), která bude jmenována VO a bude složena ze zástupců VO, aplikační a finanční sféry (podniky, banky, fondy rizikového kapitálu apod.), kdy zástupci VO mohou tvořit maximálně 50 % členů této Rady. Rada rozhoduje o přijetí, pokračování a ukončení „dílčích“ projektů. Schvaluje využití finančních prostředků. Výkonné aktivity budou zajišťovány specializovaným pracovištěm (např. centry transferu technologií). Toto pracoviště zajišťuje všechny náležitosti: příjem žádostí o „dílčí“ projekty, jejich evidenci, provádí jejich posouzení </w:t>
      </w:r>
      <w:r w:rsidR="00C210CC">
        <w:rPr>
          <w:rFonts w:ascii="Arial" w:eastAsia="Arial" w:hAnsi="Arial" w:cs="Arial"/>
          <w:color w:val="000000"/>
        </w:rPr>
        <w:br/>
      </w:r>
      <w:r w:rsidRPr="003A3E73">
        <w:rPr>
          <w:rFonts w:ascii="Arial" w:eastAsia="Arial" w:hAnsi="Arial" w:cs="Arial"/>
          <w:color w:val="000000"/>
        </w:rPr>
        <w:t xml:space="preserve">a předkládá Radě návrhy k rozhodnutí. Po schválení projektu Radou zajišťuje administraci „dílčího“ projektu a je zodpovědné za dodržování stanovených pravidel při financování „dílčích“ projektů a následném finančním vypořádání s poskytovatelem. Radě podává nejméně jednou za tři měsíce průběžné informace o průběhu jeho řešení a návrhy na ukončení „dílčího“ projektu. </w:t>
      </w:r>
    </w:p>
    <w:p w:rsidR="00DA64B4" w:rsidRPr="001B4739" w:rsidRDefault="00C419EB">
      <w:pPr>
        <w:keepNext/>
        <w:spacing w:before="24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9.1.4. Očekávané přínosy a dopady PP1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U podpořených VO lze předpokládat: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podílu výsledků výzkumu, vývoje a inovací aplikovaných v praxi;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zefektivnění stávajícího systému komercionalizace výsledků výzkumu, vývoje a inovací ve VO (zefektivnění využití doposud vložený veřejných prostředků);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budoucnu získání dodatečných finančních prostředků pro VO;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udržitelnost projektů evropských center excelence a regionálních center výzkumu a vývoje financovaných v rámci prioritní osy 1 a 2 Operačního programu Výzkum a vývoj pro inovace (dále jen „OP </w:t>
      </w:r>
      <w:proofErr w:type="spellStart"/>
      <w:r w:rsidRPr="003A3E73">
        <w:rPr>
          <w:rFonts w:ascii="Arial" w:eastAsia="Arial" w:hAnsi="Arial" w:cs="Arial"/>
          <w:color w:val="000000"/>
        </w:rPr>
        <w:t>VaVpI</w:t>
      </w:r>
      <w:proofErr w:type="spellEnd"/>
      <w:r w:rsidRPr="003A3E73">
        <w:rPr>
          <w:rFonts w:ascii="Arial" w:eastAsia="Arial" w:hAnsi="Arial" w:cs="Arial"/>
          <w:color w:val="000000"/>
        </w:rPr>
        <w:t>“),</w:t>
      </w:r>
    </w:p>
    <w:p w:rsidR="00DA64B4" w:rsidRDefault="00C419EB" w:rsidP="00C210CC">
      <w:pPr>
        <w:numPr>
          <w:ilvl w:val="0"/>
          <w:numId w:val="4"/>
        </w:numPr>
        <w:spacing w:after="120"/>
        <w:ind w:left="714" w:hanging="357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zkvalitnění spolupráce s aplikační sférou. </w:t>
      </w:r>
    </w:p>
    <w:p w:rsidR="00C210CC" w:rsidRPr="003A3E73" w:rsidRDefault="00C210CC" w:rsidP="00C210CC">
      <w:pPr>
        <w:spacing w:after="120"/>
        <w:ind w:left="714"/>
        <w:contextualSpacing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spacing w:before="60" w:after="6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Následně lze očekávat: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výkonnosti ekonomických subjektů;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kvality a užitných vlastností výrobků a služeb;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konkurenceschopnosti.</w:t>
      </w:r>
    </w:p>
    <w:p w:rsidR="00DA64B4" w:rsidRPr="003A3E73" w:rsidRDefault="00C419EB" w:rsidP="00C210CC">
      <w:pPr>
        <w:spacing w:before="60" w:after="6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Způsob realizace PP1 má vést ve VO k vytvoření efektivního a výhledově </w:t>
      </w:r>
      <w:proofErr w:type="spellStart"/>
      <w:r w:rsidRPr="003A3E73">
        <w:rPr>
          <w:rFonts w:ascii="Arial" w:eastAsia="Arial" w:hAnsi="Arial" w:cs="Arial"/>
          <w:color w:val="000000"/>
        </w:rPr>
        <w:t>samofinancovatelného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systému podpory využití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 praxi. Současně zvýšení podílu výsledků využitelných pro aplikaci v praxi rozšíří spolupráci s aplikační sférou, včetně zapojení soukromých finančních prostředků, a omezí nutnost podpory této oblasti z veřejných zdrojů.</w:t>
      </w:r>
    </w:p>
    <w:p w:rsidR="00DA64B4" w:rsidRPr="001B4739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9.1.5. Příjemci podpory v PP1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Příjemci podpory musí splňovat podmínky VO dle zákona a Rámce.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Dalším účastníkem projektu může být VO, jejíž činnost je vymezena v návrhu projektu </w:t>
      </w:r>
      <w:r w:rsidRPr="003A3E73">
        <w:rPr>
          <w:rFonts w:ascii="Arial" w:eastAsia="Arial" w:hAnsi="Arial" w:cs="Arial"/>
          <w:color w:val="000000"/>
        </w:rPr>
        <w:br/>
        <w:t>a s níž příjemce uzavřel smlouvu o její účasti na řešení projektu.</w:t>
      </w:r>
    </w:p>
    <w:p w:rsidR="00DA64B4" w:rsidRPr="001B4739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9.1.6. Podmínky poskytnutí podpory v PP1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Podpora v PP1 je poskytována výhradně na provádění nezávislého výzkumu a aktivity transferu technologií vnitřní povahy dle Rámce.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Příjemci musí předložit dlouhodobou koncepci podpory aktivit </w:t>
      </w:r>
      <w:proofErr w:type="spellStart"/>
      <w:r w:rsidRPr="003A3E73">
        <w:rPr>
          <w:rFonts w:ascii="Arial" w:eastAsia="Arial" w:hAnsi="Arial" w:cs="Arial"/>
          <w:color w:val="000000"/>
        </w:rPr>
        <w:t>proof-of-concept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ve které budou jasně stanovena pravidla fungování tohoto typu podpory, včetně způsobu úhrady způsobilých nákladů, způsobu výběru „dílčích“ projektů vhodných k úhradě způsobilých výdajů (projektů ověření koncepce), formy kontroly průběhu a financování těchto projektů a cíle, kterých musí být dosaženo.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Příjemce musí prokázat ustanovení odpovědné osoby nebo existenci oddělení či pobočky VO, která provádí management znalostí pro příjemce nebo společně pro další partnery v souladu s Rámcem např. jmenovací listinou. Jmenovací listina není jediným způsobem prokázání výše uvedeného.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Příjemce musí rovněž doložit existenci vnitřního předpisu, který upravuje funkci komplexního systému pro využití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včetně ochrany duševního vlastnictví, a věrohodný plán na udržitelnost podpory aktivit typu </w:t>
      </w:r>
      <w:proofErr w:type="spellStart"/>
      <w:r w:rsidRPr="003A3E73">
        <w:rPr>
          <w:rFonts w:ascii="Arial" w:eastAsia="Arial" w:hAnsi="Arial" w:cs="Arial"/>
          <w:color w:val="000000"/>
        </w:rPr>
        <w:t>proof-of-concept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po dobu pěti let od ukončení projektu. </w:t>
      </w:r>
    </w:p>
    <w:p w:rsidR="00DA64B4" w:rsidRPr="001B4739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9.1.7. Délka řešení projektů v PP1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S ohledem na dosavadní české i zahraniční zkušenosti bude v PP1 minimální délka řešení projektů 36 měsíců a maximální délka řešení 60 měsíců. Délka trvání „dílčích“ projektů je omezena na minimálně 6 a maximálně 36 měsíců.</w:t>
      </w:r>
    </w:p>
    <w:p w:rsidR="00DA64B4" w:rsidRPr="001B4739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9.1.8. Celkové výdaje na PP1 a nejvyšší povolená intenzita podpory</w:t>
      </w:r>
    </w:p>
    <w:p w:rsidR="00DA64B4" w:rsidRPr="003A3E73" w:rsidRDefault="00C419EB" w:rsidP="00C210CC">
      <w:pPr>
        <w:spacing w:before="240"/>
        <w:jc w:val="both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Celkové výdaje na PP1 jsou na období trvání programu rozvrženy v souladu s předpokládaným postupným vyhlašováním veřejných soutěží a ve vazbě na očekávanou průměrnou délku projektů. Podíl výdajů státního rozpočtu na celkových výdajích reflektuje nejvyšší povolenou míru podpory v PP1 ve výši 100 %. Tato intenzita podpory </w:t>
      </w:r>
      <w:r w:rsidRPr="003A3E73">
        <w:rPr>
          <w:rFonts w:ascii="Arial" w:eastAsia="Arial" w:hAnsi="Arial" w:cs="Arial"/>
          <w:color w:val="000000"/>
        </w:rPr>
        <w:lastRenderedPageBreak/>
        <w:t>vychází  z podmínek programu a ze skutečnosti, že je PP1 zaměřen na podporu VO dle Rámce</w:t>
      </w:r>
      <w:r w:rsidR="00C210CC">
        <w:rPr>
          <w:rFonts w:ascii="Arial" w:eastAsia="Arial" w:hAnsi="Arial" w:cs="Arial"/>
          <w:color w:val="000000"/>
        </w:rPr>
        <w:t>.</w:t>
      </w:r>
    </w:p>
    <w:p w:rsidR="00DA64B4" w:rsidRPr="003A3E73" w:rsidRDefault="00C419EB">
      <w:pPr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>Tabulka č. 2: Rozpočet  PP1 [mil. Kč]</w:t>
      </w:r>
    </w:p>
    <w:tbl>
      <w:tblPr>
        <w:tblStyle w:val="a0"/>
        <w:tblW w:w="9785" w:type="dxa"/>
        <w:tblInd w:w="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851"/>
        <w:gridCol w:w="850"/>
        <w:gridCol w:w="851"/>
        <w:gridCol w:w="806"/>
        <w:gridCol w:w="882"/>
        <w:gridCol w:w="839"/>
        <w:gridCol w:w="812"/>
        <w:gridCol w:w="784"/>
        <w:gridCol w:w="784"/>
        <w:gridCol w:w="1050"/>
      </w:tblGrid>
      <w:tr w:rsidR="00DA64B4" w:rsidRPr="003A3E73" w:rsidTr="00C210CC">
        <w:trPr>
          <w:trHeight w:val="22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ROK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2016</w:t>
            </w:r>
          </w:p>
        </w:tc>
        <w:tc>
          <w:tcPr>
            <w:tcW w:w="8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2017</w:t>
            </w:r>
          </w:p>
        </w:tc>
        <w:tc>
          <w:tcPr>
            <w:tcW w:w="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2018</w:t>
            </w:r>
          </w:p>
        </w:tc>
        <w:tc>
          <w:tcPr>
            <w:tcW w:w="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2019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2020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2021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2022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Celkem</w:t>
            </w:r>
          </w:p>
        </w:tc>
      </w:tr>
      <w:tr w:rsidR="00DA64B4" w:rsidRPr="003A3E73" w:rsidTr="00C210CC">
        <w:trPr>
          <w:trHeight w:val="22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Celkové výdaje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93,3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143,8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144,7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170,0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Times New Roman" w:hAnsi="Arial" w:cs="Arial"/>
              </w:rPr>
              <w:t>170,0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170,0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10</w:t>
            </w:r>
            <w:r w:rsidRPr="003A3E73">
              <w:rPr>
                <w:rFonts w:ascii="Arial" w:eastAsia="Arial" w:hAnsi="Arial" w:cs="Arial"/>
                <w:color w:val="000000"/>
              </w:rPr>
              <w:t>39,3</w:t>
            </w:r>
          </w:p>
        </w:tc>
      </w:tr>
      <w:tr w:rsidR="00DA64B4" w:rsidRPr="003A3E73" w:rsidTr="00C210CC">
        <w:trPr>
          <w:trHeight w:val="22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Výdaje státního rozpočtu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93,3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143,8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144,7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170,0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Times New Roman" w:hAnsi="Arial" w:cs="Arial"/>
              </w:rPr>
              <w:t>170,0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170,0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10</w:t>
            </w:r>
            <w:r w:rsidRPr="003A3E73">
              <w:rPr>
                <w:rFonts w:ascii="Arial" w:eastAsia="Arial" w:hAnsi="Arial" w:cs="Arial"/>
                <w:color w:val="000000"/>
              </w:rPr>
              <w:t>39,3</w:t>
            </w:r>
          </w:p>
        </w:tc>
      </w:tr>
      <w:tr w:rsidR="00DA64B4" w:rsidRPr="003A3E73" w:rsidTr="00C210CC">
        <w:trPr>
          <w:trHeight w:val="22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Neveřejné zdroje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</w:tbl>
    <w:p w:rsidR="00DA64B4" w:rsidRPr="003A3E73" w:rsidRDefault="00DA64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p w:rsidR="00C210CC" w:rsidRDefault="00C210CC">
      <w:pPr>
        <w:spacing w:before="120"/>
        <w:jc w:val="both"/>
        <w:rPr>
          <w:rFonts w:ascii="Arial" w:eastAsia="Arial" w:hAnsi="Arial" w:cs="Arial"/>
          <w:b/>
        </w:rPr>
      </w:pPr>
    </w:p>
    <w:p w:rsidR="00DA64B4" w:rsidRPr="00C210CC" w:rsidRDefault="00C419EB">
      <w:pPr>
        <w:spacing w:before="120"/>
        <w:jc w:val="both"/>
        <w:rPr>
          <w:rFonts w:ascii="Arial" w:eastAsia="Arial" w:hAnsi="Arial" w:cs="Arial"/>
          <w:b/>
        </w:rPr>
      </w:pPr>
      <w:r w:rsidRPr="00C210CC">
        <w:rPr>
          <w:rFonts w:ascii="Arial" w:eastAsia="Arial" w:hAnsi="Arial" w:cs="Arial"/>
          <w:b/>
        </w:rPr>
        <w:t>9.2. PP2 – podpora komercializace výsledků VO</w:t>
      </w:r>
    </w:p>
    <w:p w:rsidR="00DA64B4" w:rsidRPr="001B4739" w:rsidRDefault="00C419EB">
      <w:pPr>
        <w:spacing w:before="12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9.2.1. Zaměření PP2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PP2 je zaměřen na podporu projektů aplikovaného výzkumu a zejména experimentálního vývoje vedoucích prokazatelně ke komercializaci získaných výsledků, která však již nebude programem podporována. Komercializací je pro účely PP2 chápáno následné uplatnění těchto výsledků v podobě inovací jako nových nebo podstatně zdokonalených výrobků a služeb nabízených na trhu nebo ve výrobních postupech používaných k produkci příslušných výrobků nebo služeb. V PP2 tak budou podporovány především projekty experimentálního vývoje realizované podniky či ve spolupráci podniků a VO a zahrnující dokončení funkčního prototypu, ověření jeho vlastností, ověření zkušební série a posouzení veškerých technologických, ekonomických, sociálních, zdravotních a dalších dopadů inovovaného výrobku resp. služby. Podporovány budou ale i projekty, jejichž součástí budou činnosti aplikovaného výzkumu spojené s experimentálním vývojem vedoucím po ukončení projektu k tržně uplatnitelným výsledkům. V projektech nebude možné hradit náklady související přímo s tržním uplatněním jako je příprava výroby, náklady na marketing, průzkum trhu, apod.</w:t>
      </w:r>
    </w:p>
    <w:p w:rsidR="00DA64B4" w:rsidRPr="001B4739" w:rsidRDefault="00C419EB">
      <w:pPr>
        <w:keepNext/>
        <w:spacing w:before="16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9.2.2. Cíle PP2</w:t>
      </w:r>
    </w:p>
    <w:p w:rsidR="00DA64B4" w:rsidRDefault="00C419EB">
      <w:pPr>
        <w:spacing w:after="28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Cílem PP2 je zvýšit množství výsledků výzkumu a vývoje dosažených nejen s veřejnou podporou uplatněných v praxi. Podpora je tedy zaměřena zejména na fázi experimentálního vývoje (případně v omezeném rozsahu také dalšího potřebného aplikovaného výzkumu) a podpořeny budou i aktivity spojené s dokončením funkčního prototypu (jeho konstrukcí a testováním), předcházející</w:t>
      </w:r>
      <w:r w:rsidR="00664110">
        <w:rPr>
          <w:rFonts w:ascii="Arial" w:eastAsia="Arial" w:hAnsi="Arial" w:cs="Arial"/>
          <w:color w:val="000000"/>
        </w:rPr>
        <w:t xml:space="preserve"> </w:t>
      </w:r>
      <w:r w:rsidRPr="003A3E73">
        <w:rPr>
          <w:rFonts w:ascii="Arial" w:eastAsia="Arial" w:hAnsi="Arial" w:cs="Arial"/>
          <w:color w:val="000000"/>
        </w:rPr>
        <w:t xml:space="preserve">nastartování sériové výroby nových resp. podstatně zdokonalených výrobků a služeb. Poskytnutí veřejné podpory uchazeči může být podmíněno prokázáním vazby na podnikatelský plán podniku. </w:t>
      </w:r>
    </w:p>
    <w:p w:rsidR="00C210CC" w:rsidRDefault="00C210CC">
      <w:pPr>
        <w:spacing w:after="280"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spacing w:after="28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Specifickým cílem PP2 je: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zvýšení množství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a know-how, které budou podniky efektivně využity při zavádění nových výrobků, služeb a technologií na trh či při inovování výrobních procesů;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celkového počtu nových a významně vylepšených výrobků, služeb a technologií uváděných na trh;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počtu nových a zdokonalených výrobků, služeb a technologií vytvořených na základě výzkumu prováděného ve VO;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rozšíření nabídky a obchodních aktivit podniků inovací stávajících výrobků a služeb anebo vývojem zcela nových výrobků a služeb;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zvýšení efektivity výroby v podnicích prostřednictvím zavádění nových či významně vylepšených výrobních procesů.</w:t>
      </w:r>
    </w:p>
    <w:p w:rsidR="00DA64B4" w:rsidRPr="003A3E73" w:rsidRDefault="00DA64B4">
      <w:pP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DA64B4" w:rsidRPr="001B4739" w:rsidRDefault="00C419EB">
      <w:pPr>
        <w:spacing w:after="28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9.2.3. Očekávané přínosy a dopady PP2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Z hlediska přínosů půjde o zvýšení rozsahu a počtu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které budou aplikovány v praxi v podobě inovací výrobků, služeb a výrobních postupů. Tyto inovace by se měly projevit ve zlepšení ekonomických ukazatelů podpořených podniků </w:t>
      </w:r>
      <w:r w:rsidRPr="003A3E73">
        <w:rPr>
          <w:rFonts w:ascii="Arial" w:eastAsia="Arial" w:hAnsi="Arial" w:cs="Arial"/>
          <w:color w:val="000000"/>
        </w:rPr>
        <w:br/>
        <w:t xml:space="preserve">(např. v růstu obratu, exportu apod.). U spolupracujících VO se přínosy projeví ve zvýšení počtu jejich výsledků aplikovaných v praxi, v počtu komercializovaných patentů </w:t>
      </w:r>
      <w:r w:rsidRPr="003A3E73">
        <w:rPr>
          <w:rFonts w:ascii="Arial" w:eastAsia="Arial" w:hAnsi="Arial" w:cs="Arial"/>
          <w:color w:val="000000"/>
        </w:rPr>
        <w:br/>
        <w:t xml:space="preserve">a příjmech z nich dosažených, v příjmech z prodeje a využití prototypů apod. Současně bude celkovým přínosem PP2 posílení efektivního transferu know-how a technologií vzniklých v projektech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primárně ve VO do praxe. 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Vzhledem k charakteru podpořených projektů je možné, že neplánovaně dojde k aplikaci dosažených dílčích výsledků v praxi již v průběhu řešení projektu. V případě obchodního využití výsledků v průběhu řešení projektu bude od způsobilých nákladů odečten případný výnos z takového využití.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 případě dosažení dílčích výsledků v průběhu projektu budou tyto výsledky hodnoceny stejným způsobem jako při ukončení projektu, </w:t>
      </w:r>
      <w:proofErr w:type="gramStart"/>
      <w:r w:rsidRPr="003A3E73">
        <w:rPr>
          <w:rFonts w:ascii="Arial" w:eastAsia="Arial" w:hAnsi="Arial" w:cs="Arial"/>
          <w:color w:val="000000"/>
        </w:rPr>
        <w:t>tzn. budou</w:t>
      </w:r>
      <w:proofErr w:type="gramEnd"/>
      <w:r w:rsidRPr="003A3E73">
        <w:rPr>
          <w:rFonts w:ascii="Arial" w:eastAsia="Arial" w:hAnsi="Arial" w:cs="Arial"/>
          <w:color w:val="000000"/>
        </w:rPr>
        <w:t xml:space="preserve"> důkladně posuzovány odborným poradním orgánem.</w:t>
      </w:r>
    </w:p>
    <w:p w:rsidR="00DA64B4" w:rsidRPr="001B4739" w:rsidRDefault="00C419EB">
      <w:pPr>
        <w:keepNext/>
        <w:spacing w:before="240"/>
        <w:jc w:val="both"/>
        <w:rPr>
          <w:rFonts w:ascii="Arial" w:eastAsia="Arial" w:hAnsi="Arial" w:cs="Arial"/>
          <w:u w:val="single"/>
        </w:rPr>
      </w:pPr>
      <w:r w:rsidRPr="001B4739">
        <w:rPr>
          <w:rFonts w:ascii="Arial" w:eastAsia="Arial" w:hAnsi="Arial" w:cs="Arial"/>
          <w:u w:val="single"/>
        </w:rPr>
        <w:t>9.2.4.  Příjemci podpory v PP2</w:t>
      </w:r>
    </w:p>
    <w:p w:rsidR="00DA64B4" w:rsidRPr="003A3E73" w:rsidRDefault="00C419EB">
      <w:pPr>
        <w:tabs>
          <w:tab w:val="left" w:pos="360"/>
        </w:tabs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Příjemci podpory na projekt a další účastníci projektu podle zákona, Nařízení a Rámce mohou být v PP2 podniky – jakékoliv subjekty bez ohledu na právní formu či způsob financování, které podle Přílohy I Nařízení vykonávají hospodářskou činnost (právnické i fyzické osoby). </w:t>
      </w:r>
    </w:p>
    <w:p w:rsidR="00DA64B4" w:rsidRPr="003A3E73" w:rsidRDefault="00C419EB">
      <w:pPr>
        <w:tabs>
          <w:tab w:val="left" w:pos="360"/>
        </w:tabs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Příjemci podpory na náklady práv k průmyslovému vlastnictví a podpory na poradenské služby a podpůrné služby v oblasti inovací mohou být pouze malé a střední podniky ve smyslu definice uvedené v Příloze I Nařízení.</w:t>
      </w:r>
    </w:p>
    <w:p w:rsidR="00DA64B4" w:rsidRPr="003A3E73" w:rsidRDefault="00C419EB">
      <w:pPr>
        <w:tabs>
          <w:tab w:val="left" w:pos="360"/>
        </w:tabs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Příjemci podpory v režimu nezakládajícím veřejnou podporu mohou být pouze VO ve smyslu Rámce a Nařízení.</w:t>
      </w:r>
    </w:p>
    <w:p w:rsidR="00DA64B4" w:rsidRPr="00C210CC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C210CC">
        <w:rPr>
          <w:rFonts w:ascii="Arial" w:eastAsia="Arial" w:hAnsi="Arial" w:cs="Arial"/>
          <w:u w:val="single"/>
        </w:rPr>
        <w:lastRenderedPageBreak/>
        <w:t>9.2.5 Podmínky poskytnutí podpory v PP2</w:t>
      </w:r>
    </w:p>
    <w:p w:rsidR="00DA64B4" w:rsidRPr="003A3E73" w:rsidRDefault="00C419EB">
      <w:pPr>
        <w:spacing w:before="24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Poskytování podpory pro příjemce v PP2 se řídí podmínkami zákona, Rámce a Nařízení.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Dalším účastníkem projektu může být právnická osoba, jejíž činnost je vymezena v návrhu projektu a s níž příjemce uzavřel smlouvu o její účasti na řešení projektu. Dalším účastníkem projektu může být podnik či VO. V případě, že je projekt předkládán pouze podnikem </w:t>
      </w:r>
      <w:r w:rsidRPr="003A3E73">
        <w:rPr>
          <w:rFonts w:ascii="Arial" w:eastAsia="Arial" w:hAnsi="Arial" w:cs="Arial"/>
          <w:color w:val="000000"/>
        </w:rPr>
        <w:br/>
        <w:t>či ve spolupráci podniků bez účasti VO, musí předmět řešení projektu prokazatelně vycházet z licence získané od VO či z výsledků výzkumu dosaženého s podporou veřejných prostředků.</w:t>
      </w:r>
    </w:p>
    <w:p w:rsidR="00DA64B4" w:rsidRPr="00C210CC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C210CC">
        <w:rPr>
          <w:rFonts w:ascii="Arial" w:eastAsia="Arial" w:hAnsi="Arial" w:cs="Arial"/>
          <w:u w:val="single"/>
        </w:rPr>
        <w:t>9.2.6. Délka řešení projektů v PP2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S ohledem na dosavadní české i zahraniční zkušenosti bude v PP2 maximální délka řešení projektu 36 měsíců s předpokládanou minimální délkou 6 měsíců. </w:t>
      </w:r>
    </w:p>
    <w:p w:rsidR="001B4739" w:rsidRPr="00C210CC" w:rsidRDefault="00C419EB">
      <w:pPr>
        <w:spacing w:before="240"/>
        <w:jc w:val="both"/>
        <w:rPr>
          <w:rFonts w:ascii="Arial" w:eastAsia="Arial" w:hAnsi="Arial" w:cs="Arial"/>
          <w:u w:val="single"/>
        </w:rPr>
      </w:pPr>
      <w:r w:rsidRPr="00C210CC">
        <w:rPr>
          <w:rFonts w:ascii="Arial" w:eastAsia="Arial" w:hAnsi="Arial" w:cs="Arial"/>
          <w:u w:val="single"/>
        </w:rPr>
        <w:t>9.2.7. Celkové výdaje na PP2 a nejvyšší povolená intenzita podpory</w:t>
      </w:r>
    </w:p>
    <w:p w:rsidR="00DA64B4" w:rsidRPr="003A3E73" w:rsidRDefault="00C419EB" w:rsidP="00C210CC">
      <w:pPr>
        <w:spacing w:before="24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Celkové výdaje na PP2 jsou na období trvání programu rozvrženy v souladu s předpokládaným postupným vyhlašováním jednotlivých veřejných soutěží ve výzkumu, vývoji a inovacích. Podíl výdajů státního rozpočtu na celkových výdajích reflektuje nejvyšší povolenou míru podpory v PP2</w:t>
      </w:r>
      <w:r w:rsidR="00C210CC">
        <w:rPr>
          <w:rFonts w:ascii="Arial" w:eastAsia="Arial" w:hAnsi="Arial" w:cs="Arial"/>
          <w:color w:val="000000"/>
        </w:rPr>
        <w:t xml:space="preserve"> ve výši 55 %</w:t>
      </w:r>
      <w:r w:rsidRPr="003A3E73">
        <w:rPr>
          <w:rFonts w:ascii="Arial" w:eastAsia="Arial" w:hAnsi="Arial" w:cs="Arial"/>
          <w:color w:val="000000"/>
        </w:rPr>
        <w:t>.</w:t>
      </w:r>
      <w:r w:rsidR="00C210CC" w:rsidRPr="00C210CC">
        <w:rPr>
          <w:rFonts w:ascii="Arial" w:eastAsia="Arial" w:hAnsi="Arial" w:cs="Arial"/>
          <w:color w:val="000000"/>
        </w:rPr>
        <w:t xml:space="preserve"> </w:t>
      </w:r>
      <w:r w:rsidR="00C210CC" w:rsidRPr="003A3E73">
        <w:rPr>
          <w:rFonts w:ascii="Arial" w:eastAsia="Arial" w:hAnsi="Arial" w:cs="Arial"/>
          <w:color w:val="000000"/>
        </w:rPr>
        <w:t xml:space="preserve">Podíl výdajů státního rozpočtu na celkových výdajích reflektuje nejvyšší povolenou míru podpory v PP1 ve výši 100 %. </w:t>
      </w:r>
    </w:p>
    <w:p w:rsidR="00DA64B4" w:rsidRPr="003A3E73" w:rsidRDefault="00C419EB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 xml:space="preserve">Tab. </w:t>
      </w:r>
      <w:proofErr w:type="gramStart"/>
      <w:r w:rsidRPr="003A3E73">
        <w:rPr>
          <w:rFonts w:ascii="Arial" w:eastAsia="Arial" w:hAnsi="Arial" w:cs="Arial"/>
          <w:b/>
          <w:color w:val="000000"/>
        </w:rPr>
        <w:t>č.</w:t>
      </w:r>
      <w:proofErr w:type="gramEnd"/>
      <w:r w:rsidRPr="003A3E73">
        <w:rPr>
          <w:rFonts w:ascii="Arial" w:eastAsia="Arial" w:hAnsi="Arial" w:cs="Arial"/>
          <w:b/>
          <w:color w:val="000000"/>
        </w:rPr>
        <w:t xml:space="preserve"> 3: Rozpočet PP2 [mil. Kč]</w:t>
      </w:r>
    </w:p>
    <w:p w:rsidR="00DA64B4" w:rsidRPr="003A3E73" w:rsidRDefault="00DA64B4">
      <w:pPr>
        <w:spacing w:after="0" w:line="240" w:lineRule="auto"/>
        <w:rPr>
          <w:rFonts w:ascii="Arial" w:eastAsia="Times New Roman" w:hAnsi="Arial" w:cs="Arial"/>
        </w:rPr>
      </w:pPr>
    </w:p>
    <w:tbl>
      <w:tblPr>
        <w:tblStyle w:val="a2"/>
        <w:tblW w:w="958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56"/>
        <w:gridCol w:w="810"/>
        <w:gridCol w:w="812"/>
        <w:gridCol w:w="798"/>
        <w:gridCol w:w="826"/>
        <w:gridCol w:w="812"/>
        <w:gridCol w:w="769"/>
        <w:gridCol w:w="798"/>
        <w:gridCol w:w="754"/>
        <w:gridCol w:w="758"/>
        <w:gridCol w:w="1089"/>
      </w:tblGrid>
      <w:tr w:rsidR="00C210CC" w:rsidRPr="003A3E73" w:rsidTr="00C210CC">
        <w:trPr>
          <w:trHeight w:val="20"/>
        </w:trPr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tabs>
                <w:tab w:val="left" w:pos="1140"/>
              </w:tabs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ROK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2014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2015</w:t>
            </w: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2016</w:t>
            </w:r>
          </w:p>
        </w:tc>
        <w:tc>
          <w:tcPr>
            <w:tcW w:w="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2017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2018</w:t>
            </w:r>
          </w:p>
        </w:tc>
        <w:tc>
          <w:tcPr>
            <w:tcW w:w="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2019</w:t>
            </w: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2020</w:t>
            </w:r>
          </w:p>
        </w:tc>
        <w:tc>
          <w:tcPr>
            <w:tcW w:w="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2021</w:t>
            </w:r>
          </w:p>
        </w:tc>
        <w:tc>
          <w:tcPr>
            <w:tcW w:w="7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2022</w:t>
            </w:r>
          </w:p>
        </w:tc>
        <w:tc>
          <w:tcPr>
            <w:tcW w:w="10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Celkem</w:t>
            </w:r>
          </w:p>
        </w:tc>
      </w:tr>
      <w:tr w:rsidR="00C210CC" w:rsidRPr="003A3E73" w:rsidTr="00C210CC">
        <w:trPr>
          <w:trHeight w:val="20"/>
        </w:trPr>
        <w:tc>
          <w:tcPr>
            <w:tcW w:w="1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Celkové výdaje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Times New Roman" w:hAnsi="Arial" w:cs="Arial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152,4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152,4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337,4</w:t>
            </w:r>
          </w:p>
        </w:tc>
      </w:tr>
      <w:tr w:rsidR="00C210CC" w:rsidRPr="003A3E73" w:rsidTr="00C210CC">
        <w:trPr>
          <w:trHeight w:val="20"/>
        </w:trPr>
        <w:tc>
          <w:tcPr>
            <w:tcW w:w="1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 w:rsidP="00C210CC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 xml:space="preserve">Výdaje </w:t>
            </w:r>
            <w:r w:rsidR="00C210CC">
              <w:rPr>
                <w:rFonts w:ascii="Arial" w:eastAsia="Arial" w:hAnsi="Arial" w:cs="Arial"/>
                <w:b/>
              </w:rPr>
              <w:t>státního rozpočtu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83,7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83,7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185,5</w:t>
            </w:r>
          </w:p>
        </w:tc>
      </w:tr>
      <w:tr w:rsidR="00C210CC" w:rsidRPr="003A3E73" w:rsidTr="00C210CC">
        <w:trPr>
          <w:trHeight w:val="20"/>
        </w:trPr>
        <w:tc>
          <w:tcPr>
            <w:tcW w:w="1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/>
              <w:ind w:left="60"/>
              <w:jc w:val="both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Neveřejné zdroje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Arial" w:hAnsi="Arial" w:cs="Arial"/>
                <w:color w:val="000000"/>
              </w:rPr>
              <w:t>4,0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eastAsia="Times New Roman" w:hAnsi="Arial" w:cs="Arial"/>
              </w:rPr>
              <w:t>4,0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68,7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 w:rsidRPr="003A3E73">
              <w:rPr>
                <w:rFonts w:ascii="Arial" w:hAnsi="Arial" w:cs="Arial"/>
              </w:rPr>
              <w:t>68,7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2A4D6E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151,9</w:t>
            </w:r>
          </w:p>
        </w:tc>
      </w:tr>
    </w:tbl>
    <w:p w:rsidR="00DA64B4" w:rsidRPr="00F173B1" w:rsidRDefault="00F173B1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Times New Roman" w:hAnsi="Arial" w:cs="Arial"/>
        </w:rPr>
        <w:t>FORMA, INTENZITA A VÝŠE PODPORY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Podpora bude poskytována formou dotace právnickým osobám a formou zvýšení výdajů organizačních složek státu nebo organizačních jednotek ministerstva zabývajících se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. </w:t>
      </w:r>
      <w:r w:rsidR="002A4D6E" w:rsidRPr="002A4D6E">
        <w:rPr>
          <w:rFonts w:ascii="Arial" w:eastAsia="Arial" w:hAnsi="Arial" w:cs="Arial"/>
          <w:color w:val="000000"/>
        </w:rPr>
        <w:t>I</w:t>
      </w:r>
      <w:r w:rsidRPr="002A4D6E">
        <w:rPr>
          <w:rFonts w:ascii="Arial" w:eastAsia="Arial" w:hAnsi="Arial" w:cs="Arial"/>
          <w:color w:val="000000"/>
        </w:rPr>
        <w:t>nte</w:t>
      </w:r>
      <w:r w:rsidRPr="003A3E73">
        <w:rPr>
          <w:rFonts w:ascii="Arial" w:eastAsia="Arial" w:hAnsi="Arial" w:cs="Arial"/>
          <w:color w:val="000000"/>
        </w:rPr>
        <w:t xml:space="preserve">nzita podpory, stanovená jako procento uznaných nákladů projektu, bude vypočtena pro každý programový projekt i pro každého příjemce a dalšího účastníka samostatně podle Nařízení a Rámce a musí při ní být respektovány všechny níže uvedené limity. 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Pro každou veřejnou soutěž bude stanovena nejvyšší povolená intenzita podpory na jeden projekt v průměru za všechny příjemce dohromady (platí pro PP2). Nejvyšší povolená intenzita podpory se může odlišovat i mezi jednotlivými vyhlašovanými veřejnými soutěžemi. Podíl prostředků, které musí příjemce a další účastníci projektu společně vynaložit na </w:t>
      </w:r>
      <w:r w:rsidR="00947870">
        <w:rPr>
          <w:rFonts w:ascii="Arial" w:eastAsia="Arial" w:hAnsi="Arial" w:cs="Arial"/>
          <w:color w:val="000000"/>
        </w:rPr>
        <w:lastRenderedPageBreak/>
        <w:t xml:space="preserve">dofinancování projektu, </w:t>
      </w:r>
      <w:r w:rsidRPr="003A3E73">
        <w:rPr>
          <w:rFonts w:ascii="Arial" w:eastAsia="Arial" w:hAnsi="Arial" w:cs="Arial"/>
          <w:color w:val="000000"/>
        </w:rPr>
        <w:t xml:space="preserve">by </w:t>
      </w:r>
      <w:r w:rsidR="00947870">
        <w:rPr>
          <w:rFonts w:ascii="Arial" w:eastAsia="Arial" w:hAnsi="Arial" w:cs="Arial"/>
          <w:color w:val="000000"/>
        </w:rPr>
        <w:t xml:space="preserve">měl motivovat příjemce podpory </w:t>
      </w:r>
      <w:r w:rsidRPr="003A3E73">
        <w:rPr>
          <w:rFonts w:ascii="Arial" w:eastAsia="Arial" w:hAnsi="Arial" w:cs="Arial"/>
          <w:color w:val="000000"/>
        </w:rPr>
        <w:t>k efektivnějšímu využití veřejné podpory při realizaci projektu a </w:t>
      </w:r>
      <w:r w:rsidRPr="002A4D6E">
        <w:rPr>
          <w:rFonts w:ascii="Arial" w:eastAsia="Arial" w:hAnsi="Arial" w:cs="Arial"/>
          <w:color w:val="000000"/>
        </w:rPr>
        <w:t>odpovídá</w:t>
      </w:r>
      <w:r w:rsidRPr="003A3E73">
        <w:rPr>
          <w:rFonts w:ascii="Arial" w:eastAsia="Arial" w:hAnsi="Arial" w:cs="Arial"/>
          <w:color w:val="000000"/>
        </w:rPr>
        <w:t xml:space="preserve"> zaměření programu. Z tohoto důvodu je nejvyšší povolená intenzita podpory pro VO omezena v PP2 na 90 %. Příjemce a další účastníci projektu podpory musí prostředky nutné na spolufinancování hradit z neveřejných zdrojů. 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 každou veřejnou soutěž bude v PP2 stanoven maximální podíl způsobilých nákladů na aplikovaný výzkum pro typ účastníka a projektu.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Přiznání bonifikace pro malé a střední podniky a účinnou spolupráci podle Nařízení bude podléhat individuálnímu posouzení a není nárokové.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Podpora výzkumných a vývojových projektů nepřesáhne následující částky: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proofErr w:type="spellStart"/>
      <w:r w:rsidRPr="003A3E73">
        <w:rPr>
          <w:rFonts w:ascii="Arial" w:eastAsia="Arial" w:hAnsi="Arial" w:cs="Arial"/>
          <w:color w:val="000000"/>
        </w:rPr>
        <w:t>ii</w:t>
      </w:r>
      <w:proofErr w:type="spellEnd"/>
      <w:r w:rsidRPr="003A3E73">
        <w:rPr>
          <w:rFonts w:ascii="Arial" w:eastAsia="Arial" w:hAnsi="Arial" w:cs="Arial"/>
          <w:color w:val="000000"/>
        </w:rPr>
        <w:t>) je-li předmětem projektu převážně průmyslový výzkum, 10 milionů EUR na podnik, na projekt či studii proveditelnosti;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proofErr w:type="spellStart"/>
      <w:r w:rsidRPr="003A3E73">
        <w:rPr>
          <w:rFonts w:ascii="Arial" w:eastAsia="Arial" w:hAnsi="Arial" w:cs="Arial"/>
          <w:color w:val="000000"/>
        </w:rPr>
        <w:t>iii</w:t>
      </w:r>
      <w:proofErr w:type="spellEnd"/>
      <w:r w:rsidRPr="003A3E73">
        <w:rPr>
          <w:rFonts w:ascii="Arial" w:eastAsia="Arial" w:hAnsi="Arial" w:cs="Arial"/>
          <w:color w:val="000000"/>
        </w:rPr>
        <w:t>) pro všechny ostatní projekty: 7,5 milionu EUR na podnik, na projekt či studii proveditelnosti.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Podpora pro malé a střední podniky na náklady práv k průmyslovému vlastnictví nepřesáhne 5 milionů EUR na podnik a projekt.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Výše podpory na poradenské služby a podpůrné služby v oblasti inovací poskytnuté v kterémkoli období tří let nepřesáhne v souladu s čl. 28 odst. 4 Nařízení maximální částku 200 000 EUR na jednoho příjemce. 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Pokud poskytovatel služeb nemá vnitrostátní nebo evropskou </w:t>
      </w:r>
      <w:r w:rsidR="002A4D6E" w:rsidRPr="002A4D6E">
        <w:rPr>
          <w:rFonts w:ascii="Arial" w:eastAsia="Arial" w:hAnsi="Arial" w:cs="Arial"/>
          <w:color w:val="000000"/>
        </w:rPr>
        <w:t xml:space="preserve">certifikaci, </w:t>
      </w:r>
      <w:r w:rsidRPr="002A4D6E">
        <w:rPr>
          <w:rFonts w:ascii="Arial" w:eastAsia="Arial" w:hAnsi="Arial" w:cs="Arial"/>
          <w:color w:val="000000"/>
        </w:rPr>
        <w:t>podpory</w:t>
      </w:r>
      <w:r w:rsidRPr="003A3E73">
        <w:rPr>
          <w:rFonts w:ascii="Arial" w:eastAsia="Arial" w:hAnsi="Arial" w:cs="Arial"/>
          <w:color w:val="000000"/>
        </w:rPr>
        <w:t xml:space="preserve"> nepřesáhne v souladu s čl. </w:t>
      </w:r>
      <w:r w:rsidRPr="003A3E73">
        <w:rPr>
          <w:rFonts w:ascii="Arial" w:eastAsia="Times New Roman" w:hAnsi="Arial" w:cs="Arial"/>
        </w:rPr>
        <w:t>36</w:t>
      </w:r>
      <w:r w:rsidRPr="003A3E73">
        <w:rPr>
          <w:rFonts w:ascii="Arial" w:eastAsia="Arial" w:hAnsi="Arial" w:cs="Arial"/>
          <w:color w:val="000000"/>
        </w:rPr>
        <w:t xml:space="preserve"> odst. 4 Nařízení </w:t>
      </w:r>
      <w:r w:rsidRPr="003A3E73">
        <w:rPr>
          <w:rFonts w:ascii="Arial" w:eastAsia="Times New Roman" w:hAnsi="Arial" w:cs="Arial"/>
        </w:rPr>
        <w:t>Komise 75</w:t>
      </w:r>
      <w:r w:rsidRPr="003A3E73">
        <w:rPr>
          <w:rFonts w:ascii="Arial" w:eastAsia="Arial" w:hAnsi="Arial" w:cs="Arial"/>
          <w:color w:val="000000"/>
        </w:rPr>
        <w:t xml:space="preserve"> % způsobilých nákladů.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Nejvyšší povolené míry podpory pro aplikovaný výzkum a experimentální vývoj a jednotlivé kategorie příjemců a dalších účastníků jsou uvedeny v následující tabulce:</w:t>
      </w:r>
    </w:p>
    <w:p w:rsidR="00DA64B4" w:rsidRPr="003A3E73" w:rsidRDefault="00C419EB">
      <w:pPr>
        <w:spacing w:after="0" w:line="240" w:lineRule="auto"/>
        <w:jc w:val="both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 xml:space="preserve">Tab. </w:t>
      </w:r>
      <w:proofErr w:type="gramStart"/>
      <w:r w:rsidRPr="003A3E73">
        <w:rPr>
          <w:rFonts w:ascii="Arial" w:eastAsia="Arial" w:hAnsi="Arial" w:cs="Arial"/>
          <w:b/>
          <w:color w:val="000000"/>
        </w:rPr>
        <w:t>č.</w:t>
      </w:r>
      <w:proofErr w:type="gramEnd"/>
      <w:r w:rsidRPr="003A3E73">
        <w:rPr>
          <w:rFonts w:ascii="Arial" w:eastAsia="Arial" w:hAnsi="Arial" w:cs="Arial"/>
          <w:b/>
          <w:color w:val="000000"/>
        </w:rPr>
        <w:t xml:space="preserve"> 4: Nejvyšší povolená </w:t>
      </w:r>
      <w:r w:rsidR="00F173B1" w:rsidRPr="00F173B1">
        <w:rPr>
          <w:rFonts w:ascii="Arial" w:eastAsia="Times New Roman" w:hAnsi="Arial" w:cs="Arial"/>
          <w:b/>
        </w:rPr>
        <w:t>intenzita</w:t>
      </w:r>
      <w:r w:rsidRPr="00F173B1">
        <w:rPr>
          <w:rFonts w:ascii="Arial" w:eastAsia="Arial" w:hAnsi="Arial" w:cs="Arial"/>
          <w:b/>
          <w:color w:val="000000"/>
        </w:rPr>
        <w:t xml:space="preserve"> </w:t>
      </w:r>
      <w:r w:rsidRPr="003A3E73">
        <w:rPr>
          <w:rFonts w:ascii="Arial" w:eastAsia="Arial" w:hAnsi="Arial" w:cs="Arial"/>
          <w:b/>
          <w:color w:val="000000"/>
        </w:rPr>
        <w:t>podpory dle typu subjektu a kategorie činnosti</w:t>
      </w:r>
    </w:p>
    <w:p w:rsidR="00DA64B4" w:rsidRPr="003A3E73" w:rsidRDefault="00DA64B4">
      <w:pPr>
        <w:spacing w:after="0" w:line="240" w:lineRule="auto"/>
        <w:jc w:val="both"/>
        <w:rPr>
          <w:rFonts w:ascii="Arial" w:eastAsia="Times New Roman" w:hAnsi="Arial" w:cs="Arial"/>
          <w:i/>
        </w:rPr>
      </w:pPr>
    </w:p>
    <w:tbl>
      <w:tblPr>
        <w:tblStyle w:val="a3"/>
        <w:tblW w:w="1012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81"/>
        <w:gridCol w:w="1228"/>
        <w:gridCol w:w="1559"/>
        <w:gridCol w:w="1442"/>
        <w:gridCol w:w="1251"/>
        <w:gridCol w:w="1444"/>
        <w:gridCol w:w="1619"/>
      </w:tblGrid>
      <w:tr w:rsidR="00DA64B4" w:rsidRPr="003A3E73" w:rsidTr="002A4D6E">
        <w:trPr>
          <w:trHeight w:val="280"/>
        </w:trPr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Účastníci projektu</w:t>
            </w:r>
          </w:p>
        </w:tc>
        <w:tc>
          <w:tcPr>
            <w:tcW w:w="4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Aplikovaný výzkum</w:t>
            </w:r>
          </w:p>
        </w:tc>
        <w:tc>
          <w:tcPr>
            <w:tcW w:w="4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Experimentální vývoj</w:t>
            </w:r>
          </w:p>
        </w:tc>
      </w:tr>
      <w:tr w:rsidR="00DA64B4" w:rsidRPr="003A3E73" w:rsidTr="002A4D6E">
        <w:trPr>
          <w:trHeight w:val="2887"/>
        </w:trPr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 w:rsidP="003A3E73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 xml:space="preserve">Základní </w:t>
            </w:r>
            <w:r w:rsidR="003A3E73" w:rsidRPr="003A3E73">
              <w:rPr>
                <w:rFonts w:ascii="Arial" w:eastAsia="Times New Roman" w:hAnsi="Arial" w:cs="Arial"/>
                <w:b/>
              </w:rPr>
              <w:t xml:space="preserve">intenzita </w:t>
            </w:r>
            <w:r w:rsidRPr="003A3E73">
              <w:rPr>
                <w:rFonts w:ascii="Arial" w:eastAsia="Arial" w:hAnsi="Arial" w:cs="Arial"/>
                <w:b/>
              </w:rPr>
              <w:t>podpory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 w:rsidP="003A3E73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 xml:space="preserve">Nejvyšší povolená </w:t>
            </w:r>
            <w:r w:rsidR="003A3E73" w:rsidRPr="003A3E73">
              <w:rPr>
                <w:rFonts w:ascii="Arial" w:eastAsia="Times New Roman" w:hAnsi="Arial" w:cs="Arial"/>
                <w:b/>
              </w:rPr>
              <w:t xml:space="preserve">intenzita </w:t>
            </w:r>
            <w:r w:rsidRPr="003A3E73">
              <w:rPr>
                <w:rFonts w:ascii="Arial" w:eastAsia="Arial" w:hAnsi="Arial" w:cs="Arial"/>
                <w:b/>
              </w:rPr>
              <w:t>podpory při zohlednění příplatků malým a středním podnikům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 xml:space="preserve">Nejvyšší povolená </w:t>
            </w:r>
            <w:r w:rsidR="003A3E73" w:rsidRPr="003A3E73">
              <w:rPr>
                <w:rFonts w:ascii="Arial" w:eastAsia="Times New Roman" w:hAnsi="Arial" w:cs="Arial"/>
                <w:b/>
              </w:rPr>
              <w:t>intenzita</w:t>
            </w:r>
            <w:r w:rsidR="003A3E73" w:rsidRPr="003A3E73">
              <w:rPr>
                <w:rFonts w:ascii="Arial" w:eastAsia="Arial" w:hAnsi="Arial" w:cs="Arial"/>
                <w:b/>
              </w:rPr>
              <w:t xml:space="preserve"> </w:t>
            </w:r>
            <w:r w:rsidRPr="003A3E73">
              <w:rPr>
                <w:rFonts w:ascii="Arial" w:eastAsia="Arial" w:hAnsi="Arial" w:cs="Arial"/>
                <w:b/>
              </w:rPr>
              <w:t>podpory při doložení účinné spolupráce</w:t>
            </w:r>
            <w:r w:rsidRPr="003A3E73">
              <w:rPr>
                <w:rFonts w:ascii="Arial" w:eastAsia="Arial" w:hAnsi="Arial" w:cs="Arial"/>
                <w:vertAlign w:val="superscript"/>
              </w:rPr>
              <w:t>***</w:t>
            </w:r>
            <w:r w:rsidRPr="003A3E73">
              <w:rPr>
                <w:rFonts w:ascii="Arial" w:eastAsia="Arial" w:hAnsi="Arial" w:cs="Arial"/>
                <w:b/>
              </w:rPr>
              <w:t xml:space="preserve"> </w:t>
            </w:r>
          </w:p>
          <w:p w:rsidR="00DA64B4" w:rsidRPr="003A3E73" w:rsidRDefault="00DA64B4">
            <w:pPr>
              <w:spacing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 w:rsidP="003A3E73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 xml:space="preserve">Základní </w:t>
            </w:r>
            <w:r w:rsidR="003A3E73" w:rsidRPr="003A3E73">
              <w:rPr>
                <w:rFonts w:ascii="Arial" w:eastAsia="Times New Roman" w:hAnsi="Arial" w:cs="Arial"/>
                <w:b/>
              </w:rPr>
              <w:t>intenzita</w:t>
            </w:r>
            <w:r w:rsidR="003A3E73" w:rsidRPr="003A3E73">
              <w:rPr>
                <w:rFonts w:ascii="Arial" w:eastAsia="Arial" w:hAnsi="Arial" w:cs="Arial"/>
                <w:b/>
              </w:rPr>
              <w:t xml:space="preserve"> </w:t>
            </w:r>
            <w:r w:rsidRPr="003A3E73">
              <w:rPr>
                <w:rFonts w:ascii="Arial" w:eastAsia="Arial" w:hAnsi="Arial" w:cs="Arial"/>
                <w:b/>
              </w:rPr>
              <w:t>podpory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 w:rsidP="003A3E73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 xml:space="preserve">Nejvyšší povolená </w:t>
            </w:r>
            <w:r w:rsidR="003A3E73" w:rsidRPr="003A3E73">
              <w:rPr>
                <w:rFonts w:ascii="Arial" w:eastAsia="Arial" w:hAnsi="Arial" w:cs="Arial"/>
                <w:b/>
              </w:rPr>
              <w:t>i</w:t>
            </w:r>
            <w:r w:rsidRPr="003A3E73">
              <w:rPr>
                <w:rFonts w:ascii="Arial" w:eastAsia="Arial" w:hAnsi="Arial" w:cs="Arial"/>
                <w:b/>
              </w:rPr>
              <w:t xml:space="preserve">ntenzita podpory při </w:t>
            </w:r>
            <w:r w:rsidRPr="002A4D6E">
              <w:rPr>
                <w:rFonts w:ascii="Arial" w:eastAsia="Arial" w:hAnsi="Arial" w:cs="Arial"/>
                <w:b/>
              </w:rPr>
              <w:t>zohlednění</w:t>
            </w:r>
            <w:r w:rsidRPr="003A3E73">
              <w:rPr>
                <w:rFonts w:ascii="Arial" w:eastAsia="Arial" w:hAnsi="Arial" w:cs="Arial"/>
                <w:b/>
              </w:rPr>
              <w:t xml:space="preserve"> příplatků malým a středním podnikům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Nejvyšší povolená intenzita podpory při doložení účinné spolupráce</w:t>
            </w:r>
            <w:r w:rsidRPr="003A3E73">
              <w:rPr>
                <w:rFonts w:ascii="Arial" w:eastAsia="Arial" w:hAnsi="Arial" w:cs="Arial"/>
                <w:vertAlign w:val="superscript"/>
              </w:rPr>
              <w:t>***</w:t>
            </w:r>
            <w:r w:rsidRPr="003A3E73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DA64B4" w:rsidRPr="003A3E73" w:rsidTr="002A4D6E">
        <w:trPr>
          <w:trHeight w:val="465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Malé podniky</w:t>
            </w:r>
            <w:r w:rsidRPr="003A3E73">
              <w:rPr>
                <w:rFonts w:ascii="Arial" w:eastAsia="Arial" w:hAnsi="Arial" w:cs="Arial"/>
                <w:vertAlign w:val="superscript"/>
              </w:rPr>
              <w:t>*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50%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70 %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80 %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25%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45 %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60 %</w:t>
            </w:r>
          </w:p>
        </w:tc>
      </w:tr>
      <w:tr w:rsidR="00DA64B4" w:rsidRPr="003A3E73" w:rsidTr="002A4D6E">
        <w:trPr>
          <w:trHeight w:val="631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Střední podniky</w:t>
            </w:r>
            <w:r w:rsidRPr="003A3E73">
              <w:rPr>
                <w:rFonts w:ascii="Arial" w:eastAsia="Arial" w:hAnsi="Arial" w:cs="Arial"/>
                <w:vertAlign w:val="superscript"/>
              </w:rPr>
              <w:t>*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60 %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75 %</w:t>
            </w: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35 %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50 %</w:t>
            </w:r>
          </w:p>
        </w:tc>
      </w:tr>
      <w:tr w:rsidR="00DA64B4" w:rsidRPr="003A3E73" w:rsidTr="002A4D6E">
        <w:trPr>
          <w:trHeight w:val="608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lastRenderedPageBreak/>
              <w:t>Velké podniky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N/A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65 %</w:t>
            </w: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N/A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40 %</w:t>
            </w:r>
          </w:p>
        </w:tc>
      </w:tr>
      <w:tr w:rsidR="00DA64B4" w:rsidRPr="003A3E73" w:rsidTr="002A4D6E">
        <w:trPr>
          <w:trHeight w:val="523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line="240" w:lineRule="auto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Výzkumné organizace</w:t>
            </w:r>
            <w:r w:rsidRPr="003A3E73">
              <w:rPr>
                <w:rFonts w:ascii="Arial" w:eastAsia="Arial" w:hAnsi="Arial" w:cs="Arial"/>
                <w:vertAlign w:val="superscript"/>
              </w:rPr>
              <w:t>**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90 %</w:t>
            </w:r>
            <w:r w:rsidRPr="003A3E73">
              <w:rPr>
                <w:rFonts w:ascii="Arial" w:eastAsia="Arial" w:hAnsi="Arial" w:cs="Arial"/>
                <w:vertAlign w:val="superscript"/>
              </w:rPr>
              <w:t>1)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90 %</w:t>
            </w:r>
            <w:r w:rsidRPr="003A3E73">
              <w:rPr>
                <w:rFonts w:ascii="Arial" w:eastAsia="Arial" w:hAnsi="Arial" w:cs="Arial"/>
                <w:vertAlign w:val="superscript"/>
              </w:rPr>
              <w:t>1)</w:t>
            </w: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vertAlign w:val="superscript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90 %</w:t>
            </w:r>
            <w:r w:rsidRPr="003A3E73">
              <w:rPr>
                <w:rFonts w:ascii="Arial" w:eastAsia="Arial" w:hAnsi="Arial" w:cs="Arial"/>
                <w:vertAlign w:val="superscript"/>
              </w:rPr>
              <w:t>1)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  <w:vertAlign w:val="superscript"/>
              </w:rPr>
            </w:pPr>
            <w:r w:rsidRPr="003A3E73">
              <w:rPr>
                <w:rFonts w:ascii="Arial" w:eastAsia="Arial" w:hAnsi="Arial" w:cs="Arial"/>
              </w:rPr>
              <w:t>90 %</w:t>
            </w:r>
            <w:r w:rsidRPr="003A3E73">
              <w:rPr>
                <w:rFonts w:ascii="Arial" w:eastAsia="Arial" w:hAnsi="Arial" w:cs="Arial"/>
                <w:vertAlign w:val="superscript"/>
              </w:rPr>
              <w:t>1)</w:t>
            </w:r>
          </w:p>
        </w:tc>
      </w:tr>
    </w:tbl>
    <w:p w:rsidR="00DA64B4" w:rsidRPr="00F173B1" w:rsidRDefault="00C419EB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F173B1">
        <w:rPr>
          <w:rFonts w:ascii="Arial" w:eastAsia="Arial" w:hAnsi="Arial" w:cs="Arial"/>
          <w:sz w:val="18"/>
          <w:szCs w:val="18"/>
        </w:rPr>
        <w:t xml:space="preserve">Poznámka: </w:t>
      </w:r>
    </w:p>
    <w:p w:rsidR="00DA64B4" w:rsidRPr="00F173B1" w:rsidRDefault="00C419EB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F173B1">
        <w:rPr>
          <w:rFonts w:ascii="Arial" w:eastAsia="Arial" w:hAnsi="Arial" w:cs="Arial"/>
          <w:sz w:val="18"/>
          <w:szCs w:val="18"/>
          <w:vertAlign w:val="superscript"/>
        </w:rPr>
        <w:t>*</w:t>
      </w:r>
      <w:r w:rsidRPr="00F173B1">
        <w:rPr>
          <w:rFonts w:ascii="Arial" w:eastAsia="Arial" w:hAnsi="Arial" w:cs="Arial"/>
          <w:sz w:val="18"/>
          <w:szCs w:val="18"/>
        </w:rPr>
        <w:t xml:space="preserve">Malý a střední podnik je vymezen podle definice uvedené v Příloze 1 Nařízení. </w:t>
      </w:r>
    </w:p>
    <w:p w:rsidR="00DA64B4" w:rsidRPr="00F173B1" w:rsidRDefault="00C419EB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F173B1">
        <w:rPr>
          <w:rFonts w:ascii="Arial" w:eastAsia="Arial" w:hAnsi="Arial" w:cs="Arial"/>
          <w:sz w:val="18"/>
          <w:szCs w:val="18"/>
          <w:vertAlign w:val="superscript"/>
        </w:rPr>
        <w:t>**</w:t>
      </w:r>
      <w:r w:rsidRPr="00F173B1">
        <w:rPr>
          <w:rFonts w:ascii="Arial" w:eastAsia="Arial" w:hAnsi="Arial" w:cs="Arial"/>
          <w:sz w:val="18"/>
          <w:szCs w:val="18"/>
        </w:rPr>
        <w:t xml:space="preserve"> Uplatní se pouze v případech podpory </w:t>
      </w:r>
      <w:proofErr w:type="spellStart"/>
      <w:r w:rsidRPr="00F173B1">
        <w:rPr>
          <w:rFonts w:ascii="Arial" w:eastAsia="Arial" w:hAnsi="Arial" w:cs="Arial"/>
          <w:sz w:val="18"/>
          <w:szCs w:val="18"/>
        </w:rPr>
        <w:t>nehospodářských</w:t>
      </w:r>
      <w:proofErr w:type="spellEnd"/>
      <w:r w:rsidRPr="00F173B1">
        <w:rPr>
          <w:rFonts w:ascii="Arial" w:eastAsia="Arial" w:hAnsi="Arial" w:cs="Arial"/>
          <w:sz w:val="18"/>
          <w:szCs w:val="18"/>
        </w:rPr>
        <w:t xml:space="preserve"> činností u VO.</w:t>
      </w:r>
    </w:p>
    <w:p w:rsidR="00DA64B4" w:rsidRPr="00F173B1" w:rsidRDefault="00C419EB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F173B1">
        <w:rPr>
          <w:rFonts w:ascii="Arial" w:eastAsia="Arial" w:hAnsi="Arial" w:cs="Arial"/>
          <w:sz w:val="18"/>
          <w:szCs w:val="18"/>
          <w:vertAlign w:val="superscript"/>
        </w:rPr>
        <w:t>1)</w:t>
      </w:r>
      <w:r w:rsidRPr="00F173B1">
        <w:rPr>
          <w:rFonts w:ascii="Arial" w:eastAsia="Arial" w:hAnsi="Arial" w:cs="Arial"/>
          <w:sz w:val="18"/>
          <w:szCs w:val="18"/>
        </w:rPr>
        <w:t xml:space="preserve">Při respektování omezení nejvyšší povolené intenzity podpory na projekt, která bude stanovena individuálně pro každou veřejnou soutěž. </w:t>
      </w:r>
      <w:r w:rsidRPr="00F173B1">
        <w:rPr>
          <w:rFonts w:ascii="Arial" w:eastAsia="Arial" w:hAnsi="Arial" w:cs="Arial"/>
          <w:sz w:val="18"/>
          <w:szCs w:val="18"/>
          <w:vertAlign w:val="superscript"/>
        </w:rPr>
        <w:t>***</w:t>
      </w:r>
      <w:r w:rsidRPr="00F173B1">
        <w:rPr>
          <w:rFonts w:ascii="Arial" w:eastAsia="Arial" w:hAnsi="Arial" w:cs="Arial"/>
          <w:sz w:val="18"/>
          <w:szCs w:val="18"/>
        </w:rPr>
        <w:t xml:space="preserve">Pro naplnění této míry podpory musí být splněny podmínky čl. 25 odst. 6 písm. b) Nařízení 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ZPŮSOBILOST UCHAZEČŮ O PODPORU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Podporu na projekt realizovaný v programu mohou získat pouze ti uchazeči, kteří splňují podmínky způsobilosti dané § 18 zákona. Uchází-li se o řešení jednoho projektu společně více uchazečů, vztahuje se povinnost prokázat svoji způsobilost na všechny tyto uchazeče. Způsobilost prokazuje uchazeč doklady dle zákona způsobem stanoveným poskytovatelem v zadávací dokumentaci. 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ZPŮSOBILÉ NÁKLADY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Podpora bude v PP1 poskytována na způsobilé náklady projektu vymezené v souladu se zákonem a Rámcem.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PP1 jsou dále za způsobilé náklady považovány až náklady jednotlivých „dílčích“ projektů.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Podpora bude V PP2 poskytována na způsobilé náklady projektu vymezené v souladu se zákonem, Rámcem a Nařízením.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Obecně platí, že veškeré způsobilé náklady projektu v PP2 musí být přiřazeny do konkrétní kategorie aplikovaného výzkumu a experimentálního vývoje. Míru podpory je nutno zajistit pro každého příjemce a dalšího účastníka, který obdrží státní podporu </w:t>
      </w:r>
      <w:r w:rsidR="002A4D6E">
        <w:rPr>
          <w:rFonts w:ascii="Arial" w:eastAsia="Arial" w:hAnsi="Arial" w:cs="Arial"/>
          <w:color w:val="000000"/>
        </w:rPr>
        <w:t xml:space="preserve">v rámci projektu prováděného v </w:t>
      </w:r>
      <w:r w:rsidRPr="003A3E73">
        <w:rPr>
          <w:rFonts w:ascii="Arial" w:eastAsia="Arial" w:hAnsi="Arial" w:cs="Arial"/>
          <w:color w:val="000000"/>
        </w:rPr>
        <w:t xml:space="preserve">účinné spolupráci, jak je stanoveno v čl. </w:t>
      </w:r>
      <w:r w:rsidRPr="002A4D6E">
        <w:rPr>
          <w:rFonts w:ascii="Arial" w:eastAsia="Arial" w:hAnsi="Arial" w:cs="Arial"/>
          <w:color w:val="000000"/>
        </w:rPr>
        <w:t>25 odst.</w:t>
      </w:r>
      <w:r w:rsidR="002A4D6E" w:rsidRPr="002A4D6E">
        <w:rPr>
          <w:rFonts w:ascii="Arial" w:eastAsia="Arial" w:hAnsi="Arial" w:cs="Arial"/>
          <w:color w:val="000000"/>
        </w:rPr>
        <w:t xml:space="preserve"> </w:t>
      </w:r>
      <w:r w:rsidRPr="002A4D6E">
        <w:rPr>
          <w:rFonts w:ascii="Arial" w:eastAsia="Arial" w:hAnsi="Arial" w:cs="Arial"/>
          <w:color w:val="000000"/>
        </w:rPr>
        <w:t>6 písm.</w:t>
      </w:r>
      <w:r w:rsidRPr="003A3E73">
        <w:rPr>
          <w:rFonts w:ascii="Arial" w:eastAsia="Arial" w:hAnsi="Arial" w:cs="Arial"/>
          <w:color w:val="000000"/>
        </w:rPr>
        <w:t xml:space="preserve"> b) Nařízení. To se netýká podpory pro malé a střední podniky na náklady práv k průmyslovému vlastnictví a podpory na poradenské služby a podpůrné služby v oblasti inovací (viz kap. 9.2.4. programu).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Bližší specifikace způsobilých nákladů bude součástí zadávací dokumentace k příslušné veřejné soutěži.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SROVNÁNÍ SOUČASNÉHO STAVU V ČESKÉ REPUBLICE A V ZAHRANIČÍ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Systém veřejné podpory výzkumu, experimentálního vývoje a inovací v ČR (dále </w:t>
      </w:r>
      <w:r w:rsidRPr="003A3E73">
        <w:rPr>
          <w:rFonts w:ascii="Arial" w:eastAsia="Arial" w:hAnsi="Arial" w:cs="Arial"/>
          <w:color w:val="000000"/>
        </w:rPr>
        <w:br/>
        <w:t>jen „</w:t>
      </w:r>
      <w:proofErr w:type="spellStart"/>
      <w:r w:rsidRPr="003A3E73">
        <w:rPr>
          <w:rFonts w:ascii="Arial" w:eastAsia="Arial" w:hAnsi="Arial" w:cs="Arial"/>
          <w:color w:val="000000"/>
        </w:rPr>
        <w:t>VaVaI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“) je v současné době poměrně komplexní. Nicméně chybí v něm pokrytí inovačního procesu v klíčové přechodové fázi mezi výzkumem a inovacemi, kterou </w:t>
      </w:r>
      <w:r w:rsidRPr="003A3E73">
        <w:rPr>
          <w:rFonts w:ascii="Arial" w:eastAsia="Arial" w:hAnsi="Arial" w:cs="Arial"/>
          <w:color w:val="000000"/>
        </w:rPr>
        <w:br/>
        <w:t xml:space="preserve">je experimentální vývoj spojený s ověřením funkčnosti prototypu, posouzením možných rizik a dotažením vývoje až do zkušební série. Teprve v této přechodové fázi se však začíná reálně zhodnocovat možný komerční potenciál výzkumného výsledku v podobě inovovaného produktu a je to svým způsobem rozhodující fáze pro efektivní praktické uplatnění výzkumných poznatků.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 xml:space="preserve">Systém veřejné podpory </w:t>
      </w:r>
      <w:proofErr w:type="spellStart"/>
      <w:r w:rsidRPr="003A3E73">
        <w:rPr>
          <w:rFonts w:ascii="Arial" w:eastAsia="Arial" w:hAnsi="Arial" w:cs="Arial"/>
          <w:color w:val="000000"/>
        </w:rPr>
        <w:t>VaVaI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 ČR je tak nyní „rozlomen“ na podporu výzkumných projektů končících průmyslově právní ochranou (patentem, užitným vzorem), funkčním vzorkem či prototypem na straně jedné a na podporu zavádění sériové výroby produktových inovací a jejich uplatnění na trhu na straně druhé. Samotná přechodová fáze mezi výzkumem a inovacemi je navíc většinou spojena s nemalými náklady a zároveň i se značnou mírou rizika neúspěchu. Z tohoto důvodu nejsou projekty v této fázi inovačního procesu ještě dostatečně atraktivní pro externí zdroje soukromého financování a riziko i náklady zpravidla nese výzkumný subjekt.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Uvedený problém zvýrazňuje pak ta skutečnost, že v současné době dosahované výsledky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ať již chráněné (patenty, průmyslovými vzory apod.) či nechráněné, vykazují dosud ve velké míře nedostatečné předpoklady pro komerční využití. To je zejména dáno nízkou orientací prováděného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na tržní uplatnění výsledků a malou reálnou spoluprací mezi VO a podniky. Patentované a jinak chráněné výsledky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které postrádají svou ekonomickou hodnotu, by pak pro převod do komerční aplikace vyžadovaly další investice do vývoje a velmi často i do dalšího aplikovaného výzkumu. VO nejsou však ochotny takto investovat další prostředky a stejně tak podniky bez podpory ze strany VO. 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S podporou ze strukturálních fondů vznikl na Ministerstvu školství, mládeže a tělovýchovy program zaměřený na podporu v této oblasti. Jedná se o program v rámci operačního programu Výzkum a vývoj pro inovace, prioritní osa 3 „Komercializace a popularizace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>“, oblast podpory 3.1 „Komercializace výsledků výzkumných organizaci a ochrana jejich duševního vlastnictví“. Předmětem tohoto programu je zejména vybudování kapacit center transferu technologií a vytváření znalostí a zkušeností pracovníků center, mimo jiné také prostřednictvím podpory projektů jednotlivých výzkumných pracovníků. Efektivní využití vybudovaných kapacit a získaných znalostí a zkušeností bude důležitou součástí udržitelnosti podpořených projektů. Mezi další odlišnosti patří skutečnost, že příjemci nemohu být podniky. Kromě toho, v roce 2013 možnost využití tohoto programu končí.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Zahraniční zkušenosti ukazují nezbytnost vytvoření podpory pro překonání etapy od vzniku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po jeho využití v praxi. Jedná se o etapu přechodu od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>, který je podporován z veřejných zdrojů, k využití výsledků v aplikační, zejména soukromé sféře. O výsledky výzkumu a vývoje VO, které před vlastním praktickým využitím musí projít etapou dalších textů a o ověřování není podle zkušeností v praxi zájem, což snižuje efektivitu vynaložených veřejných prostředků.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 zahraničí se této fázi věnuje z hlediska veřejné podpory mnohem intenzivnější pozornost. Ve většině vyspělých zemí existují již řadu let státní programy a jiné formy podpory z veřejných prostředků orientované na vytváření funkčního „mostu“ mezi výzkumem a praxí. Pro podporu této oblasti transferu technologií včetně nákupu nezbytných služeb a ochrany duševního vlastnictví jsou využívány různé formy. Tato podpora pokrývá poměrně širokou a ucelenou řadu aktivit směřujících ke komercializaci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což dokazují i některé dále uvedené vybrané příklady.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Mezinárodní iniciativa EUREKA společně s Evropskou komisí připravily program </w:t>
      </w:r>
      <w:proofErr w:type="spellStart"/>
      <w:r w:rsidRPr="003A3E73">
        <w:rPr>
          <w:rFonts w:ascii="Arial" w:eastAsia="Arial" w:hAnsi="Arial" w:cs="Arial"/>
          <w:color w:val="000000"/>
        </w:rPr>
        <w:t>Eurostars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který se stal součástí 7. rámcového programu EU v části </w:t>
      </w:r>
      <w:proofErr w:type="spellStart"/>
      <w:r w:rsidRPr="003A3E73">
        <w:rPr>
          <w:rFonts w:ascii="Arial" w:eastAsia="Arial" w:hAnsi="Arial" w:cs="Arial"/>
          <w:color w:val="000000"/>
        </w:rPr>
        <w:t>Capacities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. Podprogram je zaměřen na podporu aktivit, blízkých tržnímu uplatnění, projekty jsou maximálně tříleté. Cílovou skupinou jsou přednostně malé a střední firmy, zabývající se výraznou </w:t>
      </w:r>
      <w:r w:rsidRPr="002A4D6E">
        <w:rPr>
          <w:rFonts w:ascii="Arial" w:eastAsia="Arial" w:hAnsi="Arial" w:cs="Arial"/>
          <w:color w:val="000000"/>
        </w:rPr>
        <w:t>m</w:t>
      </w:r>
      <w:r w:rsidR="002A4D6E" w:rsidRPr="002A4D6E">
        <w:rPr>
          <w:rFonts w:ascii="Arial" w:eastAsia="Arial" w:hAnsi="Arial" w:cs="Arial"/>
          <w:color w:val="000000"/>
        </w:rPr>
        <w:t>írou</w:t>
      </w:r>
      <w:r w:rsidRPr="003A3E73">
        <w:rPr>
          <w:rFonts w:ascii="Arial" w:eastAsia="Arial" w:hAnsi="Arial" w:cs="Arial"/>
          <w:color w:val="000000"/>
        </w:rPr>
        <w:t xml:space="preserve"> </w:t>
      </w:r>
      <w:r w:rsidR="002A4D6E">
        <w:rPr>
          <w:rFonts w:ascii="Arial" w:eastAsia="Arial" w:hAnsi="Arial" w:cs="Arial"/>
          <w:color w:val="000000"/>
        </w:rPr>
        <w:br/>
      </w:r>
      <w:r w:rsidRPr="003A3E73">
        <w:rPr>
          <w:rFonts w:ascii="Arial" w:eastAsia="Arial" w:hAnsi="Arial" w:cs="Arial"/>
          <w:color w:val="000000"/>
        </w:rPr>
        <w:lastRenderedPageBreak/>
        <w:t>i výzkumem, součástí mezinárodního řešitelského konsorcia však mohou být VO, firmy a další subjekty. Mezi podporované aktivity patří zejména aplikovaný výzkum spojený s vývojem vedoucím jasně k tržně uplatnitelným výsledkům. Základní intenzita podpory je vzhledem k zaměření programu 50 % pro malé a střední podniky a 70 % pro VO. Vůdčí ideou programu je posílení inovačních aktivit v malých a středních podnicích, mj. formou spolupráce s dalšími subjekty, a to zvláště VO.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Ve Finsku existuje již od roku 1993 na podporu komercializace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prováděného na univerzitách, technických vysokých školách a ve výzkumných ústavech program TULI. Tento program (nyní pro období 2008-2014) je zaměřen svou podporou na překlenutí období mezi vznikem nového poznatku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a jeho praktickou realizací. Podpora je poskytována na nákup expertních a poradenských služeb pro komercializaci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včetně vzniku spin-</w:t>
      </w:r>
      <w:proofErr w:type="spellStart"/>
      <w:r w:rsidRPr="003A3E73">
        <w:rPr>
          <w:rFonts w:ascii="Arial" w:eastAsia="Arial" w:hAnsi="Arial" w:cs="Arial"/>
          <w:color w:val="000000"/>
        </w:rPr>
        <w:t>off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firem, zajištění ochrany duševního vlastnictví, počáteční evaluace potenciálu dosaženého výzkumného poznatku pro komercializaci, analýz trhu a konkurence apod. a na překonání kritických míst komercializace (vývoj prototypu a ověření jeho funkčnosti, optimaliz</w:t>
      </w:r>
      <w:r w:rsidR="00A91875">
        <w:rPr>
          <w:rFonts w:ascii="Arial" w:eastAsia="Arial" w:hAnsi="Arial" w:cs="Arial"/>
          <w:color w:val="000000"/>
        </w:rPr>
        <w:t xml:space="preserve">ace vývoje finálního produktu). </w:t>
      </w:r>
      <w:r w:rsidRPr="003A3E73">
        <w:rPr>
          <w:rFonts w:ascii="Arial" w:eastAsia="Arial" w:hAnsi="Arial" w:cs="Arial"/>
          <w:color w:val="000000"/>
        </w:rPr>
        <w:t>Obdržená podpora se každoročně týká řádově stovek projektů. V letech 2008 až 2010 bylo podpořeno14 univerzit, 21 polytechnik a 5 výzkumných institucí celkovou částkou 50 milionů EUR.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Nizozemsku byl v roce 2004 pro podporu komercializace poznatků dosažených ve veřejných výzkumných institucích zaveden STW (Technologická agentura) program valorizačních grantů. Podpora je určena pro založení spin-</w:t>
      </w:r>
      <w:proofErr w:type="spellStart"/>
      <w:r w:rsidRPr="003A3E73">
        <w:rPr>
          <w:rFonts w:ascii="Arial" w:eastAsia="Arial" w:hAnsi="Arial" w:cs="Arial"/>
          <w:color w:val="000000"/>
        </w:rPr>
        <w:t>off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firem, analýzu trhu pro určitý produkt, vypracování studie proveditelnosti, vývoj prototypu, ochranu práv duševního vlastnictví apod. 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Také v Dánsku funguje od roku 2007 program </w:t>
      </w:r>
      <w:proofErr w:type="spellStart"/>
      <w:r w:rsidRPr="003A3E73">
        <w:rPr>
          <w:rFonts w:ascii="Arial" w:eastAsia="Arial" w:hAnsi="Arial" w:cs="Arial"/>
          <w:color w:val="000000"/>
        </w:rPr>
        <w:t>Proof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of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, který má formou krytí mzdových nákladů umožnit výzkumným pracovníkům ve veřejném sektoru (zejména na univerzitách a vysokých školách) se po určitou dobu koncentrovat na fázi vývoje u jimi dosažených nových výzkumných poznatků (objevů) a snížit jejich zatížení výukou a případně dalším výzkumem. 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I první fáze velmi úspěšného programu v USA „</w:t>
      </w:r>
      <w:proofErr w:type="spellStart"/>
      <w:r w:rsidRPr="003A3E73">
        <w:rPr>
          <w:rFonts w:ascii="Arial" w:eastAsia="Arial" w:hAnsi="Arial" w:cs="Arial"/>
          <w:color w:val="000000"/>
        </w:rPr>
        <w:t>Small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Business </w:t>
      </w:r>
      <w:proofErr w:type="spellStart"/>
      <w:r w:rsidRPr="003A3E73">
        <w:rPr>
          <w:rFonts w:ascii="Arial" w:eastAsia="Arial" w:hAnsi="Arial" w:cs="Arial"/>
          <w:color w:val="000000"/>
        </w:rPr>
        <w:t>Innovation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Research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“ (SBIR) poskytuje finanční prostředky na „dotažení“ výsledku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do formy modelu (i počítačového), funkčního vzorku a prototypu apod. Tento program v různých formách využívá v řadě dalších států. 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Podporu celému procesu komercializace na vysokých školách a výzkumných institucích nabízejí rovněž program „</w:t>
      </w:r>
      <w:proofErr w:type="spellStart"/>
      <w:r w:rsidRPr="003A3E73">
        <w:rPr>
          <w:rFonts w:ascii="Arial" w:eastAsia="Arial" w:hAnsi="Arial" w:cs="Arial"/>
          <w:color w:val="000000"/>
        </w:rPr>
        <w:t>Proof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of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Concept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“ </w:t>
      </w:r>
      <w:proofErr w:type="spellStart"/>
      <w:r w:rsidRPr="003A3E73">
        <w:rPr>
          <w:rFonts w:ascii="Arial" w:eastAsia="Arial" w:hAnsi="Arial" w:cs="Arial"/>
          <w:color w:val="000000"/>
        </w:rPr>
        <w:t>Scottish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Enterprise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nebo </w:t>
      </w:r>
      <w:proofErr w:type="spellStart"/>
      <w:r w:rsidRPr="003A3E73">
        <w:rPr>
          <w:rFonts w:ascii="Arial" w:eastAsia="Arial" w:hAnsi="Arial" w:cs="Arial"/>
          <w:color w:val="000000"/>
        </w:rPr>
        <w:t>Commercialisation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Fund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</w:t>
      </w:r>
      <w:proofErr w:type="spellStart"/>
      <w:r w:rsidRPr="003A3E73">
        <w:rPr>
          <w:rFonts w:ascii="Arial" w:eastAsia="Arial" w:hAnsi="Arial" w:cs="Arial"/>
          <w:color w:val="000000"/>
        </w:rPr>
        <w:t>Programme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obdobné organizace v Irsku. Podpora je poskytována bez nutnosti spoluúčasti.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MOTIVAČNÍ ÚČINEK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Program naplňuje poslání TA ČR, kterým je zvýšení, zefektivnění a zkvalitnění činností v oblasti aplikovaného výzkumu, experimentálního vývoje a inovací a dále zvýšení kvalitní spolupráce mezi průmyslovými podniky (zejm. malými a středními) a VO. Snahou programu je změnit motivační mechanismy VO a  podniků tak, aby zvýšily úsilí při získávání nových poznatků, které umožní jejich efektivní, účelné a systematické využívání, zavádění v nových výrobcích, službách a procesech výroby.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Pro naplnění těchto svých prioritních cílů bude TA ČR jako poskytovatel v rámci procesu hodnocení návrhů projektů posuzovat dosažení dostatečného motivačního účinku podpory podle Nařízení a Rámce. Pro všechny příjemce platí, že práce na řešení projektu nesmí být zahájeny před podáním návrhu projektu. Je-li příjemcem či dalším účastníkem velký podnik, musí v souladu s Nařízením a Rámcem v návrhu projektu navíc prokázat, že podpora přispěje k realizaci projektu ve větším rozsahu nebo s rozsáhlejšími cíli nebo s vyšší finanční účastí podniku v projektu nebo v kratší době, než by tomu bylo bez poskytnutí podpory. Zhodnocení motivačního účinku bude součástí protokolu o výsledku hodnocení.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VÝSLEDKY PROGRAMU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Očekává se, že PP1 přispěje k systematickému ověřování aplikačního potenciálu dosažených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v případech, kdy není zcela zřejmé jejich konečné využití, či není znám konkrétní partner v aplikační sféře. Jedná se o využití výsledků, kdy VO musí provést dodatečné činnosti pro ověření aplikačního potenciálu.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 PP1 mohou být podpořeny pouze projekty, kde je prokázána schopnost VO vytvářet a následně aplikovat výsledky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 xml:space="preserve"> a kde VO již vytvořila základ organizační struktury, </w:t>
      </w:r>
      <w:r w:rsidRPr="003A3E73">
        <w:rPr>
          <w:rFonts w:ascii="Arial" w:eastAsia="Arial" w:hAnsi="Arial" w:cs="Arial"/>
          <w:color w:val="000000"/>
        </w:rPr>
        <w:br/>
        <w:t xml:space="preserve">která tuto činnost umožňuje a podporuje.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Konkrétní podporované aktivity „dílčích“ projektů v PP1 a projektů v PP2 musí směřovat k výsledkům typu: 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vytvoření zkušební série;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provedení zkušebních testů prokazujících ne/aplikovatelnost výsledků v praxi (formou protokolu z ověřování);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hAnsi="Arial" w:cs="Arial"/>
        </w:rPr>
      </w:pPr>
      <w:r w:rsidRPr="003A3E73">
        <w:rPr>
          <w:rFonts w:ascii="Arial" w:eastAsia="Arial" w:hAnsi="Arial" w:cs="Arial"/>
          <w:color w:val="000000"/>
        </w:rPr>
        <w:t>konkrétním návrh nových podstatně zdokonalených výrobků, postupů nebo služeb formou modelu, funkčního vzorku apod.;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technologie, u nichž byl ověřen komerční potenciál;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provedený transfer technologie;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prodej obchodní licence v rámci podpořeného projektu;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příprava výrobků či služeb ke vstupu na trh.</w:t>
      </w:r>
    </w:p>
    <w:p w:rsidR="00DA64B4" w:rsidRPr="003A3E73" w:rsidRDefault="00DA64B4">
      <w:pP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spacing w:after="120" w:line="240" w:lineRule="auto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 případě synergických intervencí s komunitárním programem Horizont 2020 a zapojení malých a středních podniků se bude jednat o výsledky uznávané synergickým nástrojem v Horizontu 2020. 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„Dílčí“ projekty a projekty v PP2 musí (v souladu s  </w:t>
      </w:r>
      <w:r w:rsidRPr="003A3E73">
        <w:rPr>
          <w:rFonts w:ascii="Arial" w:eastAsia="Arial" w:hAnsi="Arial" w:cs="Arial"/>
        </w:rPr>
        <w:t>Metodikou hodnocení výzkumných organizací a hodnocení programů účelové podpory platné v době hodnocení Programu a dalších podmínek stanovených poskytovatelem v rámci průběžného a závěrečného hodnocení programu</w:t>
      </w:r>
      <w:r w:rsidRPr="003A3E73">
        <w:rPr>
          <w:rFonts w:ascii="Arial" w:eastAsia="Arial" w:hAnsi="Arial" w:cs="Arial"/>
          <w:color w:val="000000"/>
        </w:rPr>
        <w:t>, a Rejstříkem informací o výsledcích) zároveň vést k dosažení alespoň jednoho výsledku z níže uvedených druhů:</w:t>
      </w:r>
    </w:p>
    <w:p w:rsidR="00DA64B4" w:rsidRPr="003A3E73" w:rsidRDefault="00C419EB">
      <w:pPr>
        <w:spacing w:before="40" w:after="40" w:line="240" w:lineRule="auto"/>
        <w:ind w:left="28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 – patent;</w:t>
      </w:r>
    </w:p>
    <w:p w:rsidR="00DA64B4" w:rsidRPr="003A3E73" w:rsidRDefault="00C419EB">
      <w:pPr>
        <w:spacing w:before="40" w:after="40" w:line="240" w:lineRule="auto"/>
        <w:ind w:left="28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G – technicky realizované výsledky – prototyp, funkční vzorek;</w:t>
      </w:r>
    </w:p>
    <w:p w:rsidR="00DA64B4" w:rsidRPr="003A3E73" w:rsidRDefault="00C419EB">
      <w:pPr>
        <w:spacing w:before="40" w:after="40" w:line="240" w:lineRule="auto"/>
        <w:ind w:left="28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Z – poloprovoz, ověřená technologie;</w:t>
      </w:r>
    </w:p>
    <w:p w:rsidR="00DA64B4" w:rsidRPr="003A3E73" w:rsidRDefault="00C419EB">
      <w:pPr>
        <w:spacing w:before="40" w:after="40" w:line="240" w:lineRule="auto"/>
        <w:ind w:left="28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R – software;</w:t>
      </w:r>
    </w:p>
    <w:p w:rsidR="00DA64B4" w:rsidRPr="003A3E73" w:rsidRDefault="00C419EB">
      <w:pPr>
        <w:spacing w:before="40" w:after="40" w:line="240" w:lineRule="auto"/>
        <w:ind w:left="28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F – průmyslový a užitný vzor;</w:t>
      </w:r>
    </w:p>
    <w:p w:rsidR="00DA64B4" w:rsidRPr="003A3E73" w:rsidRDefault="00C419EB">
      <w:pPr>
        <w:spacing w:before="40" w:after="40" w:line="240" w:lineRule="auto"/>
        <w:ind w:left="28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O – ostatní výsledky.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Dosažené výsledky musí mít v PP2 svého konkrétního uživatele</w:t>
      </w:r>
      <w:r w:rsidRPr="003A3E73">
        <w:rPr>
          <w:rFonts w:ascii="Arial" w:eastAsia="Arial" w:hAnsi="Arial" w:cs="Arial"/>
          <w:color w:val="000000"/>
          <w:vertAlign w:val="superscript"/>
        </w:rPr>
        <w:footnoteReference w:id="1"/>
      </w:r>
      <w:r w:rsidRPr="003A3E73">
        <w:rPr>
          <w:rFonts w:ascii="Arial" w:eastAsia="Arial" w:hAnsi="Arial" w:cs="Arial"/>
          <w:color w:val="000000"/>
        </w:rPr>
        <w:t xml:space="preserve">. Uživateli výsledků budou vzhledem k průřezovému charakteru programu subjekty působící v různých odvětvích národního hospodářství. 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HODNOCENÍ NÁVRHŮ PROJEKTŮ</w:t>
      </w:r>
    </w:p>
    <w:p w:rsidR="00DA64B4" w:rsidRPr="003A3E73" w:rsidRDefault="00C419EB">
      <w:pPr>
        <w:spacing w:before="240" w:after="0"/>
        <w:jc w:val="both"/>
        <w:rPr>
          <w:rFonts w:ascii="Arial" w:eastAsia="Arial" w:hAnsi="Arial" w:cs="Arial"/>
        </w:rPr>
      </w:pPr>
      <w:r w:rsidRPr="003A3E73">
        <w:rPr>
          <w:rFonts w:ascii="Arial" w:eastAsia="Arial" w:hAnsi="Arial" w:cs="Arial"/>
        </w:rPr>
        <w:t>16.1. Vyhodnocení splnění podmínek veřejné soutěže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 souladu s pravidly stanovenými zákonem jmenuje poskytovatel komisi pro přijímání návrhů projektů. Tato komise vyhodnotí splnění všech podmínek pro zařazení návrhů projektů do veřejné soutěže ve výzkumu, vývoji a inovacích, a to: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dodržení formálních podmínek pro podání návrhu projektu daných vyhlášením veřejné soutěže,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prokázání způsobilosti uchazeče a dalších účastníků.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Nedodržení kterékoliv z výše uvedených podmínek bude mít za následek nezařazení návrhu projektu do veřejné soutěže ve výzkumu, vývoji a inovacích.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</w:rPr>
      </w:pPr>
      <w:r w:rsidRPr="003A3E73">
        <w:rPr>
          <w:rFonts w:ascii="Arial" w:eastAsia="Arial" w:hAnsi="Arial" w:cs="Arial"/>
        </w:rPr>
        <w:t>16.2. Věcné hodnocení návrhů projektů (hodnocení ex ante)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Návrhy projektů budou komplexně hodnoceny v souladu se zákonem. Pro hodnocení návrhů projektů přijatých do veřejné soutěže ustaví poskytovatel odborný poradní orgán.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Použitá kritéria pro výběr projektů:</w:t>
      </w:r>
    </w:p>
    <w:p w:rsidR="00DA64B4" w:rsidRPr="003A3E73" w:rsidRDefault="00C419EB">
      <w:pPr>
        <w:spacing w:before="120" w:line="240" w:lineRule="auto"/>
        <w:jc w:val="both"/>
        <w:rPr>
          <w:rFonts w:ascii="Arial" w:eastAsia="Arial" w:hAnsi="Arial" w:cs="Arial"/>
        </w:rPr>
      </w:pPr>
      <w:r w:rsidRPr="003A3E73">
        <w:rPr>
          <w:rFonts w:ascii="Arial" w:eastAsia="Arial" w:hAnsi="Arial" w:cs="Arial"/>
        </w:rPr>
        <w:t>16.2.1. PP1</w:t>
      </w:r>
    </w:p>
    <w:p w:rsidR="00DA64B4" w:rsidRPr="003A3E73" w:rsidRDefault="00C419EB">
      <w:pPr>
        <w:spacing w:before="120" w:line="240" w:lineRule="auto"/>
        <w:jc w:val="both"/>
        <w:rPr>
          <w:rFonts w:ascii="Arial" w:eastAsia="Arial" w:hAnsi="Arial" w:cs="Arial"/>
          <w:color w:val="000000"/>
          <w:u w:val="single"/>
        </w:rPr>
      </w:pPr>
      <w:r w:rsidRPr="003A3E73">
        <w:rPr>
          <w:rFonts w:ascii="Arial" w:eastAsia="Arial" w:hAnsi="Arial" w:cs="Arial"/>
          <w:color w:val="000000"/>
          <w:u w:val="single"/>
        </w:rPr>
        <w:t>Kritéria pro výběr projektů:</w:t>
      </w:r>
    </w:p>
    <w:p w:rsidR="00DA64B4" w:rsidRPr="003A3E73" w:rsidRDefault="00C419EB">
      <w:pPr>
        <w:numPr>
          <w:ilvl w:val="2"/>
          <w:numId w:val="2"/>
        </w:numPr>
        <w:spacing w:before="120" w:line="240" w:lineRule="auto"/>
        <w:ind w:left="1134" w:hanging="283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binární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Návrh projektu je v souladu s cíli a podmínkami programu.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Ustanovení odpovědné osoby nebo existence oddělení či pobočky VO, která provádí management znalostí pro příjemce.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Existence vnitřního předpisu, který upravuje funkci komplexního systému pro využití výsledků výzkumu a vývoje, včetně ochrany duševního vlastnictví.</w:t>
      </w:r>
    </w:p>
    <w:p w:rsidR="00DA64B4" w:rsidRPr="003A3E73" w:rsidRDefault="00C419EB">
      <w:pPr>
        <w:numPr>
          <w:ilvl w:val="2"/>
          <w:numId w:val="2"/>
        </w:numPr>
        <w:spacing w:before="120" w:line="240" w:lineRule="auto"/>
        <w:ind w:left="1134" w:hanging="283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hodnotící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Kvalita návrhu projektu.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Navržený způsob řízení projektu.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Dosavadní zkušenosti s managementem znalostí a dosažené výsledky.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Navržený způsob výběru a řízení “dílčích“ projektů.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Očekávaný počet „dílčích“ projektů.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Kvalita a věrohodnost plánu na udržitelnost podpory aktivit typu </w:t>
      </w:r>
      <w:proofErr w:type="spellStart"/>
      <w:r w:rsidRPr="003A3E73">
        <w:rPr>
          <w:rFonts w:ascii="Arial" w:eastAsia="Arial" w:hAnsi="Arial" w:cs="Arial"/>
          <w:color w:val="000000"/>
        </w:rPr>
        <w:t>proof-of-concept</w:t>
      </w:r>
      <w:proofErr w:type="spellEnd"/>
      <w:r w:rsidRPr="003A3E73">
        <w:rPr>
          <w:rFonts w:ascii="Arial" w:eastAsia="Arial" w:hAnsi="Arial" w:cs="Arial"/>
          <w:color w:val="000000"/>
        </w:rPr>
        <w:t>.</w:t>
      </w:r>
    </w:p>
    <w:p w:rsidR="00DA64B4" w:rsidRPr="003A3E73" w:rsidRDefault="00C419EB">
      <w:pPr>
        <w:spacing w:before="120" w:line="240" w:lineRule="auto"/>
        <w:jc w:val="both"/>
        <w:rPr>
          <w:rFonts w:ascii="Arial" w:eastAsia="Arial" w:hAnsi="Arial" w:cs="Arial"/>
          <w:color w:val="000000"/>
          <w:u w:val="single"/>
        </w:rPr>
      </w:pPr>
      <w:r w:rsidRPr="003A3E73">
        <w:rPr>
          <w:rFonts w:ascii="Arial" w:eastAsia="Arial" w:hAnsi="Arial" w:cs="Arial"/>
          <w:color w:val="000000"/>
          <w:u w:val="single"/>
        </w:rPr>
        <w:t>Kritéria pro výběr „dílčích“ projektů (hodnocena VO):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Navrhovaný projekt je projektem aplikovaného výzkumu a experimentálního vývoje.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Návrh projektu je v souladu s cíli a podmínkami programu.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Návrh projektu musí naplňovat nejméně jeden (a to zcela konkrétní) ze schválených cílů Národních priorit orientovaného výzkumu, experimentálního vývoje a inovací.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Podstata návrhu projektu nebo její části nebyla řešena v rámci jiného projektu, grantového projektu nebo výzkumného záměru.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Novost výsledku.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Vhodnost projektu pro ověření aplikovatelnosti výsledku.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Kapacita a složení řešitelského kolektivu jako předpokladu dosažení cílů.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Pravděpodobnost komerčního využití.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Komerční potenciál.</w:t>
      </w:r>
    </w:p>
    <w:p w:rsidR="00DA64B4" w:rsidRPr="003A3E73" w:rsidRDefault="00C419EB">
      <w:pPr>
        <w:spacing w:before="120" w:line="240" w:lineRule="auto"/>
        <w:jc w:val="both"/>
        <w:rPr>
          <w:rFonts w:ascii="Arial" w:eastAsia="Arial" w:hAnsi="Arial" w:cs="Arial"/>
        </w:rPr>
      </w:pPr>
      <w:r w:rsidRPr="003A3E73">
        <w:rPr>
          <w:rFonts w:ascii="Arial" w:eastAsia="Arial" w:hAnsi="Arial" w:cs="Arial"/>
        </w:rPr>
        <w:t>16.2.2. PP2</w:t>
      </w:r>
    </w:p>
    <w:p w:rsidR="00DA64B4" w:rsidRPr="003A3E73" w:rsidRDefault="00C419EB">
      <w:pPr>
        <w:spacing w:before="120" w:line="240" w:lineRule="auto"/>
        <w:jc w:val="both"/>
        <w:rPr>
          <w:rFonts w:ascii="Arial" w:eastAsia="Arial" w:hAnsi="Arial" w:cs="Arial"/>
          <w:color w:val="000000"/>
          <w:u w:val="single"/>
        </w:rPr>
      </w:pPr>
      <w:r w:rsidRPr="003A3E73">
        <w:rPr>
          <w:rFonts w:ascii="Arial" w:eastAsia="Arial" w:hAnsi="Arial" w:cs="Arial"/>
          <w:color w:val="000000"/>
          <w:u w:val="single"/>
        </w:rPr>
        <w:t>Navrhovaná kritéria pro výběr projektů:</w:t>
      </w:r>
    </w:p>
    <w:p w:rsidR="00DA64B4" w:rsidRPr="003A3E73" w:rsidRDefault="00C419EB">
      <w:pPr>
        <w:numPr>
          <w:ilvl w:val="0"/>
          <w:numId w:val="3"/>
        </w:numPr>
        <w:spacing w:before="120" w:line="240" w:lineRule="auto"/>
        <w:ind w:left="113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binární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Návrh projektu je v souladu s cíli programu.</w:t>
      </w:r>
    </w:p>
    <w:p w:rsidR="00DA64B4" w:rsidRPr="003A3E73" w:rsidRDefault="00C419EB">
      <w:pPr>
        <w:numPr>
          <w:ilvl w:val="0"/>
          <w:numId w:val="3"/>
        </w:numPr>
        <w:spacing w:before="120" w:line="240" w:lineRule="auto"/>
        <w:ind w:left="1134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hodnotící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Podstata návrhu projektu nebo její části nebyla řešena v rámci jiného projektu, grantového projektu nebo výzkumného záměru.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Navrhovaný projekt je projektem převážně experimentálního vývoje, eventuálně projektem experimentálního vývoje s prvky aplikovaného výzkumu.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Návrh projektu musí naplňovat nejméně jeden (a to zcela konkrétní) ze schválených cílů Národních priorit orientovaného výzkumu, experimentálního vývoje a inovací.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Příjemce a další účastníci projektu prokazují požadovanou spoluúčast při financování.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Projekt předpokládá dosažení alespoň jednoho z aplikovaných výsledků (v souladu s </w:t>
      </w:r>
      <w:r w:rsidRPr="003A3E73">
        <w:rPr>
          <w:rFonts w:ascii="Arial" w:eastAsia="Arial" w:hAnsi="Arial" w:cs="Arial"/>
        </w:rPr>
        <w:t xml:space="preserve">Metodikou hodnocení výzkumných organizací a hodnocení programů účelové podpory platné v době hodnocení </w:t>
      </w:r>
      <w:r w:rsidR="002A4D6E" w:rsidRPr="002A4D6E">
        <w:rPr>
          <w:rFonts w:ascii="Arial" w:eastAsia="Arial" w:hAnsi="Arial" w:cs="Arial"/>
        </w:rPr>
        <w:t>programu</w:t>
      </w:r>
      <w:r w:rsidRPr="002A4D6E">
        <w:rPr>
          <w:rFonts w:ascii="Arial" w:eastAsia="Arial" w:hAnsi="Arial" w:cs="Arial"/>
          <w:color w:val="000000"/>
        </w:rPr>
        <w:t>, a Rejstříkem</w:t>
      </w:r>
      <w:r w:rsidRPr="003A3E73">
        <w:rPr>
          <w:rFonts w:ascii="Arial" w:eastAsia="Arial" w:hAnsi="Arial" w:cs="Arial"/>
          <w:color w:val="000000"/>
        </w:rPr>
        <w:t xml:space="preserve"> informací o výsledcích, případně platnými podmínkami stanovenými poskytovatelem).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bookmarkStart w:id="2" w:name="_30j0zll" w:colFirst="0" w:colLast="0"/>
      <w:bookmarkEnd w:id="2"/>
      <w:r w:rsidRPr="003A3E73">
        <w:rPr>
          <w:rFonts w:ascii="Arial" w:eastAsia="Arial" w:hAnsi="Arial" w:cs="Arial"/>
          <w:color w:val="000000"/>
        </w:rPr>
        <w:t>Vazba na podnikatelský plán podniku.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Novost výsledku – inovační potenciál výsledku.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Pravděpodobnost komerčního využití.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Schopnosti uchazeče realizovat inovace vlastních produktů a služeb s vysokou přidanou hodnotou na základě využití moderních technologií.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Předpokládané ekonomické přínosy (ekonomická efektivnost, zvýšení obratu, zvýšení exportu, příjmy z prodeje licencí, efektivnost investice /ROI, doba návratnosti, IIR, NPV).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Vhodné stanovení milníků pro exit strategii (tj. předčasné ukončení projektu například v případě neúspěchu řešení nebo rychlé komercializace).</w:t>
      </w:r>
    </w:p>
    <w:p w:rsidR="00DA64B4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Posouzení kapacity a složení řešitelského kolektivu jako předpokladu dosažení cílů.</w:t>
      </w:r>
    </w:p>
    <w:p w:rsidR="00F173B1" w:rsidRPr="003A3E73" w:rsidRDefault="00F173B1" w:rsidP="00F173B1">
      <w:pPr>
        <w:spacing w:after="0"/>
        <w:contextualSpacing/>
        <w:jc w:val="both"/>
        <w:rPr>
          <w:rFonts w:ascii="Arial" w:eastAsia="Arial" w:hAnsi="Arial" w:cs="Arial"/>
          <w:color w:val="000000"/>
        </w:rPr>
      </w:pP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PRŮBĚŽNÉ HODNOCENÍ ŘEŠENÝCH PROJEKTŮ (INTERIM)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Průběžné hodnocení řešení projektů se bude provádět pravidelně v průběhu celé doby řešení projektu a má za úkol zamezit financování projektů, které neplní stanovený harmonogram prací a neřeší cíle projektu v souladu se schváleným návrhem projektu. Hodnocení provede poskytovatel na základě zprávy předložené příjemcem, případně </w:t>
      </w:r>
      <w:r w:rsidRPr="003A3E73">
        <w:rPr>
          <w:rFonts w:ascii="Arial" w:eastAsia="Arial" w:hAnsi="Arial" w:cs="Arial"/>
          <w:color w:val="000000"/>
        </w:rPr>
        <w:lastRenderedPageBreak/>
        <w:t xml:space="preserve">kontrolou věcného plnění projektu. Průběžné hodnocení dosahovaných výsledků projektu určí, zda projekt bude nadále podporován, omezen či zastaven.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Vzhledem k charakteru podpořených projektů bude zvláštní zřetel brán na obchodní využití vyvíjených prototypů a pilotních projektů v průběhu řešení projektu. V takovém případě bude případný výnos z tohoto obchodního využití odečten od způsobilých nákladů. V průběžném hodnocení bude rovněž posuzováno plnění povinností o předávání informací do informačního systému výzkumu, vývoje a inovací (podle § 31 zákona).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průběhu řešení projektů bude u příjemců veřejné finanční podpory prováděna kontrola podle § 13 zákona.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HODNOCENÍ VÝSLEDKŮ PROJEKTŮ (EX POST)</w:t>
      </w:r>
    </w:p>
    <w:p w:rsidR="00DA64B4" w:rsidRPr="003A3E73" w:rsidRDefault="00C419EB">
      <w:pPr>
        <w:spacing w:before="240"/>
        <w:jc w:val="both"/>
        <w:rPr>
          <w:rFonts w:ascii="Arial" w:eastAsia="Arial" w:hAnsi="Arial" w:cs="Arial"/>
          <w:color w:val="000000"/>
          <w:u w:val="single"/>
        </w:rPr>
      </w:pPr>
      <w:r w:rsidRPr="003A3E73">
        <w:rPr>
          <w:rFonts w:ascii="Arial" w:eastAsia="Arial" w:hAnsi="Arial" w:cs="Arial"/>
          <w:color w:val="000000"/>
          <w:u w:val="single"/>
        </w:rPr>
        <w:t>a) Hodnocení v závěrečné zprávě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Dosažené výsledky projektového řešení se hodnotí v závěrečné zprávě o řešení projektu. Řešení projektu je hodnoceno ve třech kategoriích:</w:t>
      </w:r>
    </w:p>
    <w:p w:rsidR="00DA64B4" w:rsidRPr="003A3E73" w:rsidRDefault="00C419EB">
      <w:pPr>
        <w:ind w:firstLine="708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Kategorie A: projekt splnil stanovené cíle.</w:t>
      </w:r>
    </w:p>
    <w:p w:rsidR="00DA64B4" w:rsidRPr="003A3E73" w:rsidRDefault="00C419EB">
      <w:pPr>
        <w:ind w:firstLine="708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Kategorie B: projekt nesplnil stanovené cíle z důvodů, které nemohl poskytovatel ani uchazeč předvídat.</w:t>
      </w:r>
    </w:p>
    <w:p w:rsidR="00DA64B4" w:rsidRPr="003A3E73" w:rsidRDefault="00C419EB">
      <w:pPr>
        <w:ind w:firstLine="708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Kategorie C: projekt nesplnil stanovené cíle. </w:t>
      </w:r>
    </w:p>
    <w:p w:rsidR="00DA64B4" w:rsidRPr="003A3E73" w:rsidRDefault="00C419EB">
      <w:pPr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případě, že poskytovatel při hodnocení výsledků projektu zjistí, že projekt nesplnil stanovené cíle dle předloženého návrhu projektu nebo dle následně uzavřené smlouvy nebo vydaného rozhodnutí o poskytnutí podpory, bude ze strany poskytovatele postupováno podle ustanovení § 14 zákona.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Pro zhodnocení cílů bude sloužit zejména závěrečná zpráva o řešení projektu včetně implementačního plánu (v PP2) či plánu udržitelnosti (v PP1), uzavřená smlouva o využití výsledků (podle § 11 zákona) a kontroly ze strany poskytovatele.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Implementační plán, pokrývající dobu minimálně 3 roky po ukončení projektu, bude vyžadován při ukončení řešení projektu. Příjemce bude povinen pravidelně předkládat zprávy o praktických dopadech realizace projektu a ekonomických přínosech výsledků projektu. 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Plán udržitelnosti předkládá uchazeč v PP2 společně s návrhem projektu. Při ukončení projektu je povinen předložit aktualizaci tohoto plánu pokrývajícího minimálně 3 roky po ukončení projektu. Příjemce bude povinen pravidelně předkládat zprávy o zajištění udržitelnosti projektu a o praktických dopadech realizace podpořených “dílčích“ projektů a ekonomických přínosech jejich výsledků. </w:t>
      </w:r>
    </w:p>
    <w:p w:rsidR="00DA64B4" w:rsidRPr="003A3E73" w:rsidRDefault="00C419EB">
      <w:pPr>
        <w:spacing w:before="240"/>
        <w:jc w:val="both"/>
        <w:rPr>
          <w:rFonts w:ascii="Arial" w:eastAsia="Arial" w:hAnsi="Arial" w:cs="Arial"/>
          <w:color w:val="000000"/>
          <w:u w:val="single"/>
        </w:rPr>
      </w:pPr>
      <w:r w:rsidRPr="003A3E73">
        <w:rPr>
          <w:rFonts w:ascii="Arial" w:eastAsia="Arial" w:hAnsi="Arial" w:cs="Arial"/>
          <w:color w:val="000000"/>
          <w:u w:val="single"/>
        </w:rPr>
        <w:t>b) Hodnocení splnění podmínek stanovených zákonem</w:t>
      </w:r>
    </w:p>
    <w:p w:rsidR="00DA64B4" w:rsidRPr="003A3E73" w:rsidRDefault="00C419EB">
      <w:pPr>
        <w:spacing w:before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 závěrečném hodnocení bude posuzováno splnění povinností příjemce o předávání informací do informačního systému výzkumu, experimentálního vývoje a inovací (podle § 31 zákona).</w:t>
      </w:r>
    </w:p>
    <w:p w:rsidR="00DA64B4" w:rsidRPr="003A3E73" w:rsidRDefault="00C419EB">
      <w:pPr>
        <w:keepNext/>
        <w:numPr>
          <w:ilvl w:val="0"/>
          <w:numId w:val="2"/>
        </w:numPr>
        <w:spacing w:before="240" w:after="120"/>
        <w:ind w:left="782" w:hanging="357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lastRenderedPageBreak/>
        <w:t>PŘEDPOKLÁDANÉ PARAMETRY PROGRAMU</w:t>
      </w:r>
    </w:p>
    <w:p w:rsidR="00DA64B4" w:rsidRPr="003A3E73" w:rsidRDefault="00C419EB">
      <w:pPr>
        <w:spacing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PP1 lze z očekávaného navýšení výzkumných aktivit, zejména díky ukončování projektů Evropská centra kompetence a Regionální výzkumná a vývojová centra programu Operační program Výzkum a vývoj pro inovace, předpokládat, že projekty budou v průběhu trvání programu požadovat maximální výši podpory. Předpoklad úspěšnosti řešení “dílčích” projektů je 45 %.</w:t>
      </w:r>
    </w:p>
    <w:p w:rsidR="00DA64B4" w:rsidRPr="003A3E73" w:rsidRDefault="00C419EB">
      <w:pPr>
        <w:spacing w:before="120" w:after="120" w:line="240" w:lineRule="auto"/>
        <w:jc w:val="both"/>
        <w:rPr>
          <w:rFonts w:ascii="Arial" w:eastAsia="Times New Roman" w:hAnsi="Arial" w:cs="Arial"/>
        </w:rPr>
      </w:pPr>
      <w:r w:rsidRPr="003A3E73">
        <w:rPr>
          <w:rFonts w:ascii="Arial" w:eastAsia="Arial" w:hAnsi="Arial" w:cs="Arial"/>
          <w:b/>
          <w:color w:val="000000"/>
        </w:rPr>
        <w:t xml:space="preserve">Tab. </w:t>
      </w:r>
      <w:proofErr w:type="gramStart"/>
      <w:r w:rsidRPr="003A3E73">
        <w:rPr>
          <w:rFonts w:ascii="Arial" w:eastAsia="Arial" w:hAnsi="Arial" w:cs="Arial"/>
          <w:b/>
          <w:color w:val="000000"/>
        </w:rPr>
        <w:t>č.</w:t>
      </w:r>
      <w:proofErr w:type="gramEnd"/>
      <w:r w:rsidRPr="003A3E73">
        <w:rPr>
          <w:rFonts w:ascii="Arial" w:eastAsia="Arial" w:hAnsi="Arial" w:cs="Arial"/>
          <w:b/>
          <w:color w:val="000000"/>
        </w:rPr>
        <w:t xml:space="preserve"> 5: Očekávaný počet projektů v PP1*</w:t>
      </w:r>
    </w:p>
    <w:tbl>
      <w:tblPr>
        <w:tblStyle w:val="a4"/>
        <w:tblW w:w="92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93"/>
        <w:gridCol w:w="1295"/>
      </w:tblGrid>
      <w:tr w:rsidR="00DA64B4" w:rsidRPr="003A3E73" w:rsidTr="00F173B1">
        <w:trPr>
          <w:trHeight w:val="338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DA64B4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  <w:b/>
              </w:rPr>
              <w:t>Počet</w:t>
            </w:r>
          </w:p>
        </w:tc>
      </w:tr>
      <w:tr w:rsidR="00DA64B4" w:rsidRPr="003A3E73" w:rsidTr="00F173B1">
        <w:trPr>
          <w:trHeight w:val="346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Celkem podpořených projektů v PP1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65 </w:t>
            </w:r>
          </w:p>
        </w:tc>
      </w:tr>
      <w:tr w:rsidR="00DA64B4" w:rsidRPr="003A3E73" w:rsidTr="00F173B1">
        <w:trPr>
          <w:trHeight w:val="354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Celkem podpořených “dílčích“ projektů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750 </w:t>
            </w:r>
          </w:p>
        </w:tc>
      </w:tr>
      <w:tr w:rsidR="00DA64B4" w:rsidRPr="003A3E73">
        <w:trPr>
          <w:trHeight w:val="380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Celkem úspěšně ukončených “dílčích“ projektů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330 </w:t>
            </w:r>
          </w:p>
        </w:tc>
      </w:tr>
    </w:tbl>
    <w:p w:rsidR="00DA64B4" w:rsidRPr="003A3E73" w:rsidRDefault="00C419EB">
      <w:pPr>
        <w:spacing w:before="120" w:after="0" w:line="240" w:lineRule="auto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PP1 předpokládá zapojení 40 subjektů v následující struktuře:</w:t>
      </w:r>
    </w:p>
    <w:p w:rsidR="00DA64B4" w:rsidRPr="003A3E73" w:rsidRDefault="00DA64B4">
      <w:pPr>
        <w:spacing w:before="120" w:after="0" w:line="240" w:lineRule="auto"/>
        <w:rPr>
          <w:rFonts w:ascii="Arial" w:eastAsia="Times New Roman" w:hAnsi="Arial" w:cs="Arial"/>
        </w:rPr>
      </w:pPr>
    </w:p>
    <w:p w:rsidR="00DA64B4" w:rsidRPr="003A3E73" w:rsidRDefault="00C419EB">
      <w:pPr>
        <w:spacing w:after="120"/>
        <w:jc w:val="both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 xml:space="preserve">Tab. </w:t>
      </w:r>
      <w:proofErr w:type="gramStart"/>
      <w:r w:rsidRPr="003A3E73">
        <w:rPr>
          <w:rFonts w:ascii="Arial" w:eastAsia="Arial" w:hAnsi="Arial" w:cs="Arial"/>
          <w:b/>
          <w:color w:val="000000"/>
        </w:rPr>
        <w:t>č.</w:t>
      </w:r>
      <w:proofErr w:type="gramEnd"/>
      <w:r w:rsidRPr="003A3E73">
        <w:rPr>
          <w:rFonts w:ascii="Arial" w:eastAsia="Arial" w:hAnsi="Arial" w:cs="Arial"/>
          <w:b/>
          <w:color w:val="000000"/>
        </w:rPr>
        <w:t xml:space="preserve"> 6: Struktura účastníků projektů v PP1*</w:t>
      </w:r>
    </w:p>
    <w:tbl>
      <w:tblPr>
        <w:tblStyle w:val="a5"/>
        <w:tblW w:w="6269" w:type="dxa"/>
        <w:tblInd w:w="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39"/>
        <w:gridCol w:w="1065"/>
        <w:gridCol w:w="1065"/>
      </w:tblGrid>
      <w:tr w:rsidR="00DA64B4" w:rsidRPr="003A3E73">
        <w:trPr>
          <w:trHeight w:val="20"/>
        </w:trPr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Počet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Podíl</w:t>
            </w:r>
          </w:p>
        </w:tc>
      </w:tr>
      <w:tr w:rsidR="00DA64B4" w:rsidRPr="003A3E73">
        <w:trPr>
          <w:trHeight w:val="20"/>
        </w:trPr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Veřejné vysoké školy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17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43%</w:t>
            </w:r>
          </w:p>
        </w:tc>
      </w:tr>
      <w:tr w:rsidR="00DA64B4" w:rsidRPr="003A3E73">
        <w:trPr>
          <w:trHeight w:val="20"/>
        </w:trPr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Ústavy Akademie věd České republiky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25%</w:t>
            </w:r>
          </w:p>
        </w:tc>
      </w:tr>
      <w:tr w:rsidR="00DA64B4" w:rsidRPr="003A3E73">
        <w:trPr>
          <w:trHeight w:val="20"/>
        </w:trPr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Ostatní veřejné výzkumné instituce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13%</w:t>
            </w:r>
          </w:p>
        </w:tc>
      </w:tr>
      <w:tr w:rsidR="00DA64B4" w:rsidRPr="003A3E73">
        <w:trPr>
          <w:trHeight w:val="20"/>
        </w:trPr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Ostatní výzkumné organizace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20%</w:t>
            </w:r>
          </w:p>
        </w:tc>
      </w:tr>
      <w:tr w:rsidR="00DA64B4" w:rsidRPr="003A3E73">
        <w:trPr>
          <w:trHeight w:val="20"/>
        </w:trPr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Celkem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100%</w:t>
            </w:r>
          </w:p>
        </w:tc>
      </w:tr>
    </w:tbl>
    <w:p w:rsidR="00A36003" w:rsidRDefault="00A36003" w:rsidP="00F173B1">
      <w:pPr>
        <w:spacing w:before="120" w:after="120"/>
        <w:jc w:val="both"/>
        <w:rPr>
          <w:rFonts w:ascii="Arial" w:eastAsia="Arial" w:hAnsi="Arial" w:cs="Arial"/>
          <w:color w:val="000000"/>
        </w:rPr>
      </w:pPr>
    </w:p>
    <w:p w:rsidR="00F173B1" w:rsidRDefault="00C419EB" w:rsidP="00F173B1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Ve vazbě na zaměření PP2 a ze zkušeností z realizace projektů se očekává průměrná výše podpory z veřejných prostředků na jeden projekt cca 1 mil. Kč. Vzhledem k celkovému rozpočtu PP2 se předpokládá cca 23 podpořených projektů (cca 5 projektů ročně). </w:t>
      </w:r>
    </w:p>
    <w:p w:rsidR="00DA64B4" w:rsidRPr="00F173B1" w:rsidRDefault="00C419EB" w:rsidP="00F173B1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 xml:space="preserve">Tab. </w:t>
      </w:r>
      <w:proofErr w:type="gramStart"/>
      <w:r w:rsidRPr="003A3E73">
        <w:rPr>
          <w:rFonts w:ascii="Arial" w:eastAsia="Arial" w:hAnsi="Arial" w:cs="Arial"/>
          <w:b/>
          <w:color w:val="000000"/>
        </w:rPr>
        <w:t>č.</w:t>
      </w:r>
      <w:proofErr w:type="gramEnd"/>
      <w:r w:rsidRPr="003A3E73">
        <w:rPr>
          <w:rFonts w:ascii="Arial" w:eastAsia="Arial" w:hAnsi="Arial" w:cs="Arial"/>
          <w:b/>
          <w:color w:val="000000"/>
        </w:rPr>
        <w:t xml:space="preserve"> 7: Očekávaný počet projektů ve spolupráci v PP2*</w:t>
      </w:r>
    </w:p>
    <w:tbl>
      <w:tblPr>
        <w:tblStyle w:val="a6"/>
        <w:tblW w:w="9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4"/>
        <w:gridCol w:w="854"/>
        <w:gridCol w:w="911"/>
      </w:tblGrid>
      <w:tr w:rsidR="00DA64B4" w:rsidRPr="003A3E73" w:rsidTr="00F173B1">
        <w:tc>
          <w:tcPr>
            <w:tcW w:w="7314" w:type="dxa"/>
            <w:vAlign w:val="center"/>
          </w:tcPr>
          <w:p w:rsidR="00DA64B4" w:rsidRPr="003A3E73" w:rsidRDefault="00DA64B4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854" w:type="dxa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Počet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B4" w:rsidRPr="003A3E73" w:rsidRDefault="00F173B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Podíl</w:t>
            </w:r>
          </w:p>
        </w:tc>
      </w:tr>
      <w:tr w:rsidR="00DA64B4" w:rsidRPr="003A3E73" w:rsidTr="00F173B1">
        <w:tc>
          <w:tcPr>
            <w:tcW w:w="7314" w:type="dxa"/>
            <w:vAlign w:val="center"/>
          </w:tcPr>
          <w:p w:rsidR="00DA64B4" w:rsidRPr="003A3E73" w:rsidRDefault="00C419EB" w:rsidP="00F173B1">
            <w:pPr>
              <w:spacing w:after="0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Počet projektů řešených </w:t>
            </w:r>
            <w:r w:rsidRPr="003A3E73">
              <w:rPr>
                <w:rFonts w:ascii="Arial" w:eastAsia="Times New Roman" w:hAnsi="Arial" w:cs="Arial"/>
              </w:rPr>
              <w:t>ve sp</w:t>
            </w:r>
            <w:r w:rsidR="00F173B1">
              <w:rPr>
                <w:rFonts w:ascii="Arial" w:eastAsia="Times New Roman" w:hAnsi="Arial" w:cs="Arial"/>
              </w:rPr>
              <w:t>olupráci podniků a VO nebo mezi podniky</w:t>
            </w:r>
          </w:p>
        </w:tc>
        <w:tc>
          <w:tcPr>
            <w:tcW w:w="854" w:type="dxa"/>
            <w:vAlign w:val="center"/>
          </w:tcPr>
          <w:p w:rsidR="00DA64B4" w:rsidRPr="003A3E73" w:rsidRDefault="00C419EB" w:rsidP="00F173B1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35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 w:rsidP="00F173B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A3E73">
              <w:rPr>
                <w:rFonts w:ascii="Arial" w:eastAsia="Times New Roman" w:hAnsi="Arial" w:cs="Arial"/>
              </w:rPr>
              <w:t>40 %</w:t>
            </w:r>
          </w:p>
        </w:tc>
      </w:tr>
      <w:tr w:rsidR="00DA64B4" w:rsidRPr="003A3E73" w:rsidTr="00F173B1">
        <w:tc>
          <w:tcPr>
            <w:tcW w:w="7314" w:type="dxa"/>
            <w:vAlign w:val="center"/>
          </w:tcPr>
          <w:p w:rsidR="00DA64B4" w:rsidRPr="003A3E73" w:rsidRDefault="00C419EB">
            <w:pPr>
              <w:spacing w:after="0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Celkem projektů v PP2</w:t>
            </w:r>
          </w:p>
        </w:tc>
        <w:tc>
          <w:tcPr>
            <w:tcW w:w="854" w:type="dxa"/>
            <w:vAlign w:val="center"/>
          </w:tcPr>
          <w:p w:rsidR="00DA64B4" w:rsidRPr="003A3E73" w:rsidRDefault="00C419EB" w:rsidP="00F173B1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115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 w:rsidP="00F173B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100 %</w:t>
            </w:r>
          </w:p>
        </w:tc>
      </w:tr>
    </w:tbl>
    <w:p w:rsidR="00DA64B4" w:rsidRPr="003A3E73" w:rsidRDefault="00C419EB">
      <w:pPr>
        <w:keepNext/>
        <w:spacing w:before="360" w:after="120" w:line="240" w:lineRule="auto"/>
        <w:jc w:val="both"/>
        <w:rPr>
          <w:rFonts w:ascii="Arial" w:eastAsia="Times New Roman" w:hAnsi="Arial" w:cs="Arial"/>
        </w:rPr>
      </w:pPr>
      <w:r w:rsidRPr="003A3E73">
        <w:rPr>
          <w:rFonts w:ascii="Arial" w:eastAsia="Times New Roman" w:hAnsi="Arial" w:cs="Arial"/>
        </w:rPr>
        <w:lastRenderedPageBreak/>
        <w:t>PP2 předpokládá zapojení 180 subjektů do řešení podpořených projektů v následující struktuře.:</w:t>
      </w:r>
    </w:p>
    <w:p w:rsidR="00DA64B4" w:rsidRPr="00F173B1" w:rsidRDefault="00C419EB">
      <w:pPr>
        <w:keepNext/>
        <w:spacing w:before="120" w:after="120" w:line="240" w:lineRule="auto"/>
        <w:jc w:val="both"/>
        <w:rPr>
          <w:rFonts w:ascii="Arial" w:eastAsia="Times New Roman" w:hAnsi="Arial" w:cs="Arial"/>
          <w:b/>
        </w:rPr>
      </w:pPr>
      <w:r w:rsidRPr="00F173B1">
        <w:rPr>
          <w:rFonts w:ascii="Arial" w:eastAsia="Times New Roman" w:hAnsi="Arial" w:cs="Arial"/>
          <w:b/>
        </w:rPr>
        <w:t xml:space="preserve">Tab. </w:t>
      </w:r>
      <w:proofErr w:type="gramStart"/>
      <w:r w:rsidRPr="00F173B1">
        <w:rPr>
          <w:rFonts w:ascii="Arial" w:eastAsia="Times New Roman" w:hAnsi="Arial" w:cs="Arial"/>
          <w:b/>
        </w:rPr>
        <w:t>č.</w:t>
      </w:r>
      <w:proofErr w:type="gramEnd"/>
      <w:r w:rsidRPr="00F173B1">
        <w:rPr>
          <w:rFonts w:ascii="Arial" w:eastAsia="Times New Roman" w:hAnsi="Arial" w:cs="Arial"/>
          <w:b/>
        </w:rPr>
        <w:t xml:space="preserve"> 8: Struktura účastníků projektů v PP2</w:t>
      </w:r>
      <w:r w:rsidRPr="00F173B1">
        <w:rPr>
          <w:rFonts w:ascii="Arial" w:eastAsia="Times New Roman" w:hAnsi="Arial" w:cs="Arial"/>
          <w:b/>
          <w:vertAlign w:val="superscript"/>
        </w:rPr>
        <w:t>*</w:t>
      </w:r>
    </w:p>
    <w:tbl>
      <w:tblPr>
        <w:tblStyle w:val="a8"/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2142"/>
        <w:gridCol w:w="2110"/>
      </w:tblGrid>
      <w:tr w:rsidR="00DA64B4" w:rsidRPr="003A3E7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DA64B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3A3E73">
              <w:rPr>
                <w:rFonts w:ascii="Arial" w:eastAsia="Times New Roman" w:hAnsi="Arial" w:cs="Arial"/>
                <w:b/>
              </w:rPr>
              <w:t>Počet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3A3E73">
              <w:rPr>
                <w:rFonts w:ascii="Arial" w:eastAsia="Times New Roman" w:hAnsi="Arial" w:cs="Arial"/>
                <w:b/>
              </w:rPr>
              <w:t>Podíl</w:t>
            </w:r>
          </w:p>
        </w:tc>
      </w:tr>
      <w:tr w:rsidR="00DA64B4" w:rsidRPr="003A3E7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Malé a střední podniky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50 %</w:t>
            </w:r>
          </w:p>
        </w:tc>
      </w:tr>
      <w:tr w:rsidR="00DA64B4" w:rsidRPr="003A3E7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Velké podniky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25 %</w:t>
            </w:r>
          </w:p>
        </w:tc>
      </w:tr>
      <w:tr w:rsidR="00DA64B4" w:rsidRPr="003A3E7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Výzkumné organizace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25 %</w:t>
            </w:r>
          </w:p>
        </w:tc>
      </w:tr>
      <w:tr w:rsidR="00DA64B4" w:rsidRPr="003A3E7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Celkem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180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100 %</w:t>
            </w:r>
          </w:p>
        </w:tc>
      </w:tr>
    </w:tbl>
    <w:p w:rsidR="00DA64B4" w:rsidRPr="00F173B1" w:rsidRDefault="00C419EB">
      <w:pPr>
        <w:spacing w:before="240" w:after="0"/>
        <w:jc w:val="both"/>
        <w:rPr>
          <w:rFonts w:ascii="Arial" w:eastAsia="Times New Roman" w:hAnsi="Arial" w:cs="Arial"/>
          <w:i/>
          <w:sz w:val="18"/>
          <w:szCs w:val="18"/>
          <w:u w:val="single"/>
        </w:rPr>
      </w:pPr>
      <w:r w:rsidRPr="00F173B1">
        <w:rPr>
          <w:rFonts w:ascii="Arial" w:eastAsia="Times New Roman" w:hAnsi="Arial" w:cs="Arial"/>
          <w:i/>
          <w:sz w:val="18"/>
          <w:szCs w:val="18"/>
          <w:u w:val="single"/>
          <w:vertAlign w:val="superscript"/>
        </w:rPr>
        <w:t>*</w:t>
      </w:r>
      <w:r w:rsidRPr="00F173B1">
        <w:rPr>
          <w:rFonts w:ascii="Arial" w:eastAsia="Times New Roman" w:hAnsi="Arial" w:cs="Arial"/>
          <w:i/>
          <w:sz w:val="18"/>
          <w:szCs w:val="18"/>
          <w:u w:val="single"/>
        </w:rPr>
        <w:t xml:space="preserve">Pozn.: Očekávané počty projektů a zapojených účastníků jsou </w:t>
      </w:r>
      <w:r w:rsidR="00F173B1" w:rsidRPr="00F173B1">
        <w:rPr>
          <w:rFonts w:ascii="Arial" w:eastAsia="Times New Roman" w:hAnsi="Arial" w:cs="Arial"/>
          <w:i/>
          <w:sz w:val="18"/>
          <w:szCs w:val="18"/>
          <w:u w:val="single"/>
        </w:rPr>
        <w:t xml:space="preserve">uváděny jako orientační a byly </w:t>
      </w:r>
      <w:r w:rsidRPr="00F173B1">
        <w:rPr>
          <w:rFonts w:ascii="Arial" w:eastAsia="Times New Roman" w:hAnsi="Arial" w:cs="Arial"/>
          <w:i/>
          <w:sz w:val="18"/>
          <w:szCs w:val="18"/>
          <w:u w:val="single"/>
        </w:rPr>
        <w:t>kalkulovány v souladu s navrženým rozpočtem programu a na základě zkušeností s realizací dosavadních relevantních programů TA ČR (zejm. program ALFA) a dalších poskytovatelů.</w:t>
      </w:r>
    </w:p>
    <w:p w:rsidR="00DA64B4" w:rsidRPr="003A3E73" w:rsidRDefault="00C419EB">
      <w:pPr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KRITÉRIA SPLNĚNÍ CÍLŮ PROGRAMU</w:t>
      </w:r>
    </w:p>
    <w:p w:rsidR="00DA64B4" w:rsidRPr="003A3E73" w:rsidRDefault="00C419EB">
      <w:pPr>
        <w:spacing w:before="120" w:after="12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Dosažení hlavního i dílčích cílů programu bude vyhodnocováno v souladu s </w:t>
      </w:r>
      <w:r w:rsidRPr="003A3E73">
        <w:rPr>
          <w:rFonts w:ascii="Arial" w:eastAsia="Arial" w:hAnsi="Arial" w:cs="Arial"/>
        </w:rPr>
        <w:t>Metodikou hodnocení výzkumných organizací a hodnocení programů účelové podpory p</w:t>
      </w:r>
      <w:r w:rsidR="00F173B1">
        <w:rPr>
          <w:rFonts w:ascii="Arial" w:eastAsia="Arial" w:hAnsi="Arial" w:cs="Arial"/>
        </w:rPr>
        <w:t>latné v době hodnocení programu</w:t>
      </w:r>
      <w:r w:rsidR="00F173B1">
        <w:rPr>
          <w:rFonts w:ascii="Arial" w:eastAsia="Arial" w:hAnsi="Arial" w:cs="Arial"/>
          <w:color w:val="000000"/>
        </w:rPr>
        <w:t xml:space="preserve">, </w:t>
      </w:r>
      <w:r w:rsidRPr="003A3E73">
        <w:rPr>
          <w:rFonts w:ascii="Arial" w:eastAsia="Arial" w:hAnsi="Arial" w:cs="Arial"/>
          <w:color w:val="000000"/>
        </w:rPr>
        <w:t>případně podmínek stanovených poskytovatelem. Dosažení cílů programu bude vyhodnocováno na základě souboru indikátorů určených pro monitorování průběhu plnění programu a hodnocení jeho celkové výkonnosti a úspěšnosti. Výběr a nastavení indikátorů rovněž respektuje požadavek zajištění a sledování motivačního účinku podpory Rámce a Nařízení. Indikátory jsou řazeny do kategorií dle své povahy.</w:t>
      </w:r>
    </w:p>
    <w:p w:rsidR="00DA64B4" w:rsidRPr="003A3E73" w:rsidRDefault="00C419EB">
      <w:pPr>
        <w:spacing w:before="120" w:after="240" w:line="240" w:lineRule="auto"/>
        <w:jc w:val="both"/>
        <w:rPr>
          <w:rFonts w:ascii="Arial" w:eastAsia="Arial" w:hAnsi="Arial" w:cs="Arial"/>
          <w:b/>
          <w:color w:val="000000"/>
        </w:rPr>
      </w:pPr>
      <w:r w:rsidRPr="003A3E73">
        <w:rPr>
          <w:rFonts w:ascii="Arial" w:eastAsia="Arial" w:hAnsi="Arial" w:cs="Arial"/>
          <w:b/>
          <w:color w:val="000000"/>
        </w:rPr>
        <w:t xml:space="preserve">Tab. </w:t>
      </w:r>
      <w:proofErr w:type="gramStart"/>
      <w:r w:rsidRPr="003A3E73">
        <w:rPr>
          <w:rFonts w:ascii="Arial" w:eastAsia="Arial" w:hAnsi="Arial" w:cs="Arial"/>
          <w:b/>
          <w:color w:val="000000"/>
        </w:rPr>
        <w:t>č.</w:t>
      </w:r>
      <w:proofErr w:type="gramEnd"/>
      <w:r w:rsidRPr="003A3E73">
        <w:rPr>
          <w:rFonts w:ascii="Arial" w:eastAsia="Arial" w:hAnsi="Arial" w:cs="Arial"/>
          <w:b/>
          <w:color w:val="000000"/>
        </w:rPr>
        <w:t xml:space="preserve"> 9: Indikátory dosažení cílů programu</w:t>
      </w:r>
    </w:p>
    <w:tbl>
      <w:tblPr>
        <w:tblStyle w:val="a9"/>
        <w:tblW w:w="975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31"/>
        <w:gridCol w:w="7771"/>
        <w:gridCol w:w="952"/>
      </w:tblGrid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P. číslo</w:t>
            </w: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Indikátor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Počet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Minimální počet celkem vybraných (podpořených) projektů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180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Minimální počet projektů řešených ve spolupráci podniků a VO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Times New Roman" w:hAnsi="Arial" w:cs="Arial"/>
              </w:rPr>
              <w:t>35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počet zapojených subjektů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220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počet podpořených „dílčích“ projektů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750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podíl úspěšně ukončených „dílčích“ projektů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45 %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Minimální podíl úspěšně ukončených projektů celkem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80 %</w:t>
            </w:r>
          </w:p>
        </w:tc>
      </w:tr>
      <w:tr w:rsidR="00DA64B4" w:rsidRPr="003A3E73"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before="240" w:after="0"/>
              <w:ind w:left="964"/>
              <w:rPr>
                <w:rFonts w:ascii="Arial" w:eastAsia="Arial" w:hAnsi="Arial" w:cs="Arial"/>
                <w:b/>
              </w:rPr>
            </w:pPr>
            <w:r w:rsidRPr="003A3E73">
              <w:rPr>
                <w:rFonts w:ascii="Arial" w:eastAsia="Arial" w:hAnsi="Arial" w:cs="Arial"/>
                <w:b/>
              </w:rPr>
              <w:t>Indikátory výstupů programu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 xml:space="preserve">Minimální počet ověřovaných výsledků </w:t>
            </w:r>
            <w:proofErr w:type="spellStart"/>
            <w:r w:rsidRPr="003A3E73">
              <w:rPr>
                <w:rFonts w:ascii="Arial" w:eastAsia="Arial" w:hAnsi="Arial" w:cs="Arial"/>
              </w:rPr>
              <w:t>VaV</w:t>
            </w:r>
            <w:proofErr w:type="spellEnd"/>
            <w:r w:rsidRPr="003A3E73">
              <w:rPr>
                <w:rFonts w:ascii="Arial" w:eastAsia="Arial" w:hAnsi="Arial" w:cs="Arial"/>
              </w:rPr>
              <w:t xml:space="preserve"> (</w:t>
            </w:r>
            <w:proofErr w:type="spellStart"/>
            <w:r w:rsidRPr="003A3E73">
              <w:rPr>
                <w:rFonts w:ascii="Arial" w:eastAsia="Arial" w:hAnsi="Arial" w:cs="Arial"/>
              </w:rPr>
              <w:t>proof-of-concept</w:t>
            </w:r>
            <w:proofErr w:type="spellEnd"/>
            <w:r w:rsidRPr="003A3E73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3A3E73">
              <w:rPr>
                <w:rFonts w:ascii="Arial" w:eastAsia="Arial" w:hAnsi="Arial" w:cs="Arial"/>
              </w:rPr>
              <w:t>stage</w:t>
            </w:r>
            <w:proofErr w:type="spellEnd"/>
            <w:r w:rsidRPr="003A3E73">
              <w:rPr>
                <w:rFonts w:ascii="Arial" w:eastAsia="Arial" w:hAnsi="Arial" w:cs="Arial"/>
              </w:rPr>
              <w:t>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750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celkový počet uplatněných výsledků (RIV)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705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počet zavedených poloprovozů a ověřených technologií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65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počet ověřených a realizovaných funkčních prototypů na základě uskutečněného experimentálního vývoje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320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počet nových a zdokonalených výrobků a služeb uvedených na trh včetně počtu zavedených nových a zdokonalených výrobních postupů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76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rPr>
                <w:rFonts w:ascii="Arial" w:eastAsia="Arial" w:hAnsi="Arial" w:cs="Arial"/>
              </w:rPr>
            </w:pPr>
            <w:bookmarkStart w:id="3" w:name="_1fob9te" w:colFirst="0" w:colLast="0"/>
            <w:bookmarkEnd w:id="3"/>
            <w:r w:rsidRPr="003A3E73">
              <w:rPr>
                <w:rFonts w:ascii="Arial" w:eastAsia="Arial" w:hAnsi="Arial" w:cs="Arial"/>
              </w:rPr>
              <w:t xml:space="preserve"> Z toho minimální počet nových a zdokonalených výrobků a služeb uvedených na trh a vytvořených na základě výzkumu prováděného ve VO či ve spolupráci s VO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25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Minimální počet licenčních smluv know-how či technologií, na základě kterých jsou vyvíjeny nové či zdokonalené výrobky či služby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25</w:t>
            </w:r>
          </w:p>
        </w:tc>
      </w:tr>
      <w:tr w:rsidR="00DA64B4" w:rsidRPr="003A3E73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4B4" w:rsidRPr="003A3E73" w:rsidRDefault="00DA64B4">
            <w:pPr>
              <w:numPr>
                <w:ilvl w:val="0"/>
                <w:numId w:val="1"/>
              </w:num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7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Minimálně bude dosaženo stanovených cílů programu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B4" w:rsidRPr="003A3E73" w:rsidRDefault="00C419EB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3A3E73">
              <w:rPr>
                <w:rFonts w:ascii="Arial" w:eastAsia="Arial" w:hAnsi="Arial" w:cs="Arial"/>
              </w:rPr>
              <w:t>90 %*</w:t>
            </w:r>
          </w:p>
        </w:tc>
      </w:tr>
    </w:tbl>
    <w:p w:rsidR="00DA64B4" w:rsidRPr="00F173B1" w:rsidRDefault="00C419EB">
      <w:pPr>
        <w:keepNext/>
        <w:spacing w:before="240" w:after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F173B1">
        <w:rPr>
          <w:rFonts w:ascii="Arial" w:eastAsia="Arial" w:hAnsi="Arial" w:cs="Arial"/>
          <w:sz w:val="18"/>
          <w:szCs w:val="18"/>
          <w:u w:val="single"/>
        </w:rPr>
        <w:t>*podíl biná</w:t>
      </w:r>
      <w:r w:rsidR="006F128A" w:rsidRPr="00F173B1">
        <w:rPr>
          <w:rFonts w:ascii="Arial" w:eastAsia="Arial" w:hAnsi="Arial" w:cs="Arial"/>
          <w:sz w:val="18"/>
          <w:szCs w:val="18"/>
          <w:u w:val="single"/>
        </w:rPr>
        <w:t xml:space="preserve">rně splněných indikátorů 1. až </w:t>
      </w:r>
      <w:r w:rsidR="00F173B1" w:rsidRPr="00F173B1">
        <w:rPr>
          <w:rFonts w:ascii="Arial" w:eastAsia="Arial" w:hAnsi="Arial" w:cs="Arial"/>
          <w:sz w:val="18"/>
          <w:szCs w:val="18"/>
          <w:u w:val="single"/>
        </w:rPr>
        <w:t>13</w:t>
      </w:r>
    </w:p>
    <w:p w:rsidR="00DA64B4" w:rsidRPr="003A3E73" w:rsidRDefault="00C419EB">
      <w:pPr>
        <w:keepNext/>
        <w:numPr>
          <w:ilvl w:val="0"/>
          <w:numId w:val="2"/>
        </w:numPr>
        <w:spacing w:before="24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HODNOCENÍ PŘÍNOSŮ PROGRAMU</w:t>
      </w:r>
    </w:p>
    <w:p w:rsidR="00DA64B4" w:rsidRPr="003A3E73" w:rsidRDefault="00C419EB">
      <w:pPr>
        <w:spacing w:before="12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V souladu s obvyklými postupy v Evropské unii, bude po skončení realizace programu provedeno také vyhodnocení přínosů tohoto programu pro ČR a její konkurenceschopnost. Přínosy budou hodnoceny zejména ve vztahu k cílům programu.</w:t>
      </w:r>
    </w:p>
    <w:p w:rsidR="00DA64B4" w:rsidRPr="003A3E73" w:rsidRDefault="00C419EB">
      <w:pPr>
        <w:spacing w:before="120" w:after="0"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Očekávané přínosy programu budou zejména hodnoceny podle: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nápadů, u nichž byla ověřena možnost uplatnění v praxi;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výsledků VO uplatněných v praxi;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nových a zdokonalených výrobků a služeb uvedených na trh a počtu zavedených nových a zdokonalených výrobních postupů a meziročního přírůstku příjmů (obratu) s nimi spojených u uživatele resp. uživatelů;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meziročního zvýšení obratu příjemců podpory;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celkového počtu aplikovaných výsledků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>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počtu patentů, které jsou výsledkem výzkumu a byly komercializovány formou na nich založené realizace produktových nebo procesních inovací nebo prodejem licencí; 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příjmů dosažených na základě těchto komercializovaných patentů; 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licencí k výsledkům “dílčích“ projektů nabídnutých výzkumnými organizacemi;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uzavřených licenčních smluv a objemu licenčních poplatků;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příjmů, které vzniknou prodejem a využitím prototypů;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ověřených a realizovaných funkčních prototypů na základě uskutečněného experimentálního vývoje;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nových poloprovozů;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>počtu realizovaných transferů know-how a technologií z VO do podniků;</w:t>
      </w:r>
    </w:p>
    <w:p w:rsidR="00DA64B4" w:rsidRPr="003A3E73" w:rsidRDefault="00C419EB">
      <w:pPr>
        <w:numPr>
          <w:ilvl w:val="0"/>
          <w:numId w:val="4"/>
        </w:numPr>
        <w:spacing w:after="0"/>
        <w:contextualSpacing/>
        <w:jc w:val="both"/>
        <w:rPr>
          <w:rFonts w:ascii="Arial" w:eastAsia="Arial" w:hAnsi="Arial" w:cs="Arial"/>
          <w:color w:val="000000"/>
        </w:rPr>
      </w:pPr>
      <w:r w:rsidRPr="003A3E73">
        <w:rPr>
          <w:rFonts w:ascii="Arial" w:eastAsia="Arial" w:hAnsi="Arial" w:cs="Arial"/>
          <w:color w:val="000000"/>
        </w:rPr>
        <w:t xml:space="preserve">objemu podnikových investic do sektoru </w:t>
      </w:r>
      <w:proofErr w:type="spellStart"/>
      <w:r w:rsidRPr="003A3E73">
        <w:rPr>
          <w:rFonts w:ascii="Arial" w:eastAsia="Arial" w:hAnsi="Arial" w:cs="Arial"/>
          <w:color w:val="000000"/>
        </w:rPr>
        <w:t>VaV</w:t>
      </w:r>
      <w:proofErr w:type="spellEnd"/>
      <w:r w:rsidRPr="003A3E73">
        <w:rPr>
          <w:rFonts w:ascii="Arial" w:eastAsia="Arial" w:hAnsi="Arial" w:cs="Arial"/>
          <w:color w:val="000000"/>
        </w:rPr>
        <w:t>.</w:t>
      </w:r>
    </w:p>
    <w:p w:rsidR="00DA64B4" w:rsidRPr="003A3E73" w:rsidRDefault="00DA64B4">
      <w:pPr>
        <w:rPr>
          <w:rFonts w:ascii="Arial" w:hAnsi="Arial" w:cs="Arial"/>
        </w:rPr>
      </w:pPr>
    </w:p>
    <w:sectPr w:rsidR="00DA64B4" w:rsidRPr="003A3E73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4CF" w:rsidRDefault="00BC04CF">
      <w:pPr>
        <w:spacing w:after="0" w:line="240" w:lineRule="auto"/>
      </w:pPr>
      <w:r>
        <w:separator/>
      </w:r>
    </w:p>
  </w:endnote>
  <w:endnote w:type="continuationSeparator" w:id="0">
    <w:p w:rsidR="00BC04CF" w:rsidRDefault="00BC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C9" w:rsidRDefault="004262C9">
    <w:pP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2A4D6E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  <w:p w:rsidR="004262C9" w:rsidRDefault="004262C9">
    <w:pPr>
      <w:tabs>
        <w:tab w:val="center" w:pos="4536"/>
        <w:tab w:val="right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4CF" w:rsidRDefault="00BC04CF">
      <w:pPr>
        <w:spacing w:after="0" w:line="240" w:lineRule="auto"/>
      </w:pPr>
      <w:r>
        <w:separator/>
      </w:r>
    </w:p>
  </w:footnote>
  <w:footnote w:type="continuationSeparator" w:id="0">
    <w:p w:rsidR="00BC04CF" w:rsidRDefault="00BC04CF">
      <w:pPr>
        <w:spacing w:after="0" w:line="240" w:lineRule="auto"/>
      </w:pPr>
      <w:r>
        <w:continuationSeparator/>
      </w:r>
    </w:p>
  </w:footnote>
  <w:footnote w:id="1">
    <w:p w:rsidR="004262C9" w:rsidRDefault="004262C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20"/>
          <w:szCs w:val="20"/>
        </w:rPr>
        <w:t xml:space="preserve"> Podpora komercializace výsledků však není předmětem PP2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C465E"/>
    <w:multiLevelType w:val="multilevel"/>
    <w:tmpl w:val="7256C54E"/>
    <w:lvl w:ilvl="0">
      <w:start w:val="1"/>
      <w:numFmt w:val="upperLetter"/>
      <w:lvlText w:val="%1.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2327C"/>
    <w:multiLevelType w:val="multilevel"/>
    <w:tmpl w:val="DA1E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B41CA"/>
    <w:multiLevelType w:val="multilevel"/>
    <w:tmpl w:val="5F18B8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F7EB8"/>
    <w:multiLevelType w:val="multilevel"/>
    <w:tmpl w:val="7FA8E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64B4"/>
    <w:rsid w:val="00164D04"/>
    <w:rsid w:val="001B4739"/>
    <w:rsid w:val="001E28ED"/>
    <w:rsid w:val="002A4D6E"/>
    <w:rsid w:val="002A50E1"/>
    <w:rsid w:val="003369FB"/>
    <w:rsid w:val="00365F0A"/>
    <w:rsid w:val="003A3E73"/>
    <w:rsid w:val="004262C9"/>
    <w:rsid w:val="00664110"/>
    <w:rsid w:val="006F128A"/>
    <w:rsid w:val="0088358F"/>
    <w:rsid w:val="00947870"/>
    <w:rsid w:val="00A36003"/>
    <w:rsid w:val="00A91875"/>
    <w:rsid w:val="00BC04CF"/>
    <w:rsid w:val="00C210CC"/>
    <w:rsid w:val="00C419EB"/>
    <w:rsid w:val="00CC34D7"/>
    <w:rsid w:val="00D76800"/>
    <w:rsid w:val="00DA64B4"/>
    <w:rsid w:val="00DE1E77"/>
    <w:rsid w:val="00DE324C"/>
    <w:rsid w:val="00E65579"/>
    <w:rsid w:val="00F1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3DB81-9955-4B26-A4E0-0CB23D0D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20</Pages>
  <Words>7023</Words>
  <Characters>41438</Characters>
  <Application>Microsoft Office Word</Application>
  <DocSecurity>0</DocSecurity>
  <Lines>345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15</cp:revision>
  <dcterms:created xsi:type="dcterms:W3CDTF">2018-04-24T12:40:00Z</dcterms:created>
  <dcterms:modified xsi:type="dcterms:W3CDTF">2018-05-04T12:02:00Z</dcterms:modified>
</cp:coreProperties>
</file>